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1800"/>
        <w:gridCol w:w="3771"/>
      </w:tblGrid>
      <w:tr w:rsidR="002914D6" w:rsidTr="00DA714E">
        <w:trPr>
          <w:trHeight w:val="295"/>
        </w:trPr>
        <w:tc>
          <w:tcPr>
            <w:tcW w:w="5049" w:type="dxa"/>
            <w:gridSpan w:val="3"/>
          </w:tcPr>
          <w:p w:rsidR="002914D6" w:rsidRDefault="002914D6">
            <w:pPr>
              <w:rPr>
                <w:rFonts w:ascii="Arial" w:hAnsi="Arial" w:hint="cs"/>
                <w:b/>
                <w:bCs/>
                <w:noProof w:val="0"/>
                <w:sz w:val="26"/>
                <w:szCs w:val="26"/>
                <w:rtl/>
              </w:rPr>
            </w:pPr>
            <w:bookmarkStart w:id="0" w:name="_GoBack"/>
            <w:bookmarkEnd w:id="0"/>
          </w:p>
        </w:tc>
        <w:tc>
          <w:tcPr>
            <w:tcW w:w="3771" w:type="dxa"/>
          </w:tcPr>
          <w:p w:rsidR="002914D6" w:rsidRDefault="00011212">
            <w:pPr>
              <w:jc w:val="right"/>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843432373"/>
                <w:text w:multiLine="1"/>
              </w:sdtPr>
              <w:sdtEndPr/>
              <w:sdtContent>
                <w:r>
                  <w:rPr>
                    <w:rFonts w:ascii="Arial" w:hAnsi="Arial"/>
                    <w:b/>
                    <w:bCs/>
                    <w:noProof w:val="0"/>
                    <w:sz w:val="26"/>
                    <w:szCs w:val="26"/>
                    <w:rtl/>
                  </w:rPr>
                  <w:t>8</w:t>
                </w:r>
              </w:sdtContent>
            </w:sdt>
          </w:p>
        </w:tc>
      </w:tr>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אורית בן דור ליבל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8465C2" w:rsidRDefault="003E48D3" w:rsidP="00B306FF">
                <w:pPr>
                  <w:bidi w:val="0"/>
                  <w:jc w:val="right"/>
                  <w:rPr>
                    <w:rFonts w:ascii="Arial" w:hAnsi="Arial"/>
                    <w:b/>
                    <w:bCs/>
                    <w:noProof w:val="0"/>
                    <w:sz w:val="26"/>
                    <w:szCs w:val="26"/>
                    <w:rtl/>
                  </w:rPr>
                </w:pPr>
                <w:r>
                  <w:rPr>
                    <w:rFonts w:ascii="Arial" w:hAnsi="Arial"/>
                    <w:b/>
                    <w:bCs/>
                    <w:noProof w:val="0"/>
                    <w:sz w:val="26"/>
                    <w:szCs w:val="26"/>
                    <w:rtl/>
                  </w:rPr>
                  <w:t>מבקש</w:t>
                </w:r>
                <w:r w:rsidR="00B306FF">
                  <w:rPr>
                    <w:rFonts w:ascii="Arial" w:hAnsi="Arial" w:hint="cs"/>
                    <w:b/>
                    <w:bCs/>
                    <w:noProof w:val="0"/>
                    <w:sz w:val="26"/>
                    <w:szCs w:val="26"/>
                    <w:rtl/>
                  </w:rPr>
                  <w:t>ת</w:t>
                </w:r>
              </w:p>
            </w:sdtContent>
          </w:sdt>
        </w:tc>
        <w:tc>
          <w:tcPr>
            <w:tcW w:w="5571" w:type="dxa"/>
            <w:gridSpan w:val="2"/>
          </w:tcPr>
          <w:p w:rsidR="002914D6" w:rsidRDefault="002914D6">
            <w:pPr>
              <w:rPr>
                <w:rFonts w:ascii="Arial" w:hAnsi="Arial"/>
                <w:b/>
                <w:bCs/>
                <w:noProof w:val="0"/>
                <w:sz w:val="26"/>
                <w:szCs w:val="26"/>
              </w:rPr>
            </w:pPr>
          </w:p>
          <w:p w:rsidR="002914D6" w:rsidRPr="00D244AF" w:rsidRDefault="00D244AF" w:rsidP="00B306FF">
            <w:pPr>
              <w:rPr>
                <w:b/>
                <w:bCs/>
                <w:rtl/>
              </w:rPr>
            </w:pPr>
            <w:r w:rsidRPr="00D244AF">
              <w:rPr>
                <w:rFonts w:hint="cs"/>
                <w:b/>
                <w:bCs/>
                <w:rtl/>
              </w:rPr>
              <w:t>פלונית</w:t>
            </w:r>
          </w:p>
          <w:p w:rsidR="00B306FF" w:rsidRPr="00B306FF" w:rsidRDefault="00B306FF" w:rsidP="00B306FF">
            <w:pPr>
              <w:rPr>
                <w:noProof w:val="0"/>
                <w:sz w:val="22"/>
                <w:szCs w:val="22"/>
              </w:rPr>
            </w:pPr>
            <w:r>
              <w:rPr>
                <w:rFonts w:hint="cs"/>
                <w:sz w:val="22"/>
                <w:szCs w:val="22"/>
                <w:rtl/>
              </w:rPr>
              <w:t>ע"י ב"כ עו"ד משה בראון</w:t>
            </w:r>
          </w:p>
        </w:tc>
      </w:tr>
      <w:tr w:rsidR="002914D6" w:rsidTr="00DA714E">
        <w:tc>
          <w:tcPr>
            <w:tcW w:w="8820" w:type="dxa"/>
            <w:gridSpan w:val="4"/>
          </w:tcPr>
          <w:p w:rsidR="002914D6" w:rsidRDefault="002914D6">
            <w:pPr>
              <w:rPr>
                <w:rFonts w:ascii="Arial" w:hAnsi="Arial"/>
                <w:b/>
                <w:bCs/>
                <w:noProof w:val="0"/>
                <w:sz w:val="26"/>
                <w:szCs w:val="26"/>
                <w:rtl/>
              </w:rPr>
            </w:pPr>
          </w:p>
          <w:p w:rsidR="002914D6" w:rsidRDefault="00011212" w:rsidP="00FF7984">
            <w:pPr>
              <w:jc w:val="center"/>
              <w:rPr>
                <w:rFonts w:ascii="Arial" w:hAnsi="Arial"/>
                <w:b/>
                <w:bCs/>
                <w:noProof w:val="0"/>
                <w:sz w:val="26"/>
                <w:szCs w:val="26"/>
              </w:rPr>
            </w:pPr>
            <w:r>
              <w:rPr>
                <w:rFonts w:ascii="Arial" w:hAnsi="Arial"/>
                <w:b/>
                <w:bCs/>
                <w:noProof w:val="0"/>
                <w:sz w:val="26"/>
                <w:szCs w:val="26"/>
                <w:rtl/>
              </w:rPr>
              <w:t>נגד</w:t>
            </w: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A27A1C" w:rsidP="00B306FF">
            <w:pPr>
              <w:rPr>
                <w:rFonts w:ascii="Arial" w:hAnsi="Arial"/>
                <w:b/>
                <w:bCs/>
                <w:noProof w:val="0"/>
                <w:sz w:val="26"/>
                <w:szCs w:val="26"/>
              </w:rPr>
            </w:pPr>
            <w:sdt>
              <w:sdtPr>
                <w:rPr>
                  <w:rtl/>
                </w:rPr>
                <w:alias w:val="1184"/>
                <w:tag w:val="1184"/>
                <w:id w:val="385841288"/>
                <w:text w:multiLine="1"/>
              </w:sdtPr>
              <w:sdtEndPr/>
              <w:sdtContent>
                <w:r w:rsidR="00CC29C2">
                  <w:rPr>
                    <w:rFonts w:ascii="Arial" w:hAnsi="Arial"/>
                    <w:b/>
                    <w:bCs/>
                    <w:noProof w:val="0"/>
                    <w:sz w:val="26"/>
                    <w:szCs w:val="26"/>
                    <w:rtl/>
                  </w:rPr>
                  <w:t>משיב</w:t>
                </w:r>
              </w:sdtContent>
            </w:sdt>
          </w:p>
        </w:tc>
        <w:tc>
          <w:tcPr>
            <w:tcW w:w="5571" w:type="dxa"/>
            <w:gridSpan w:val="2"/>
          </w:tcPr>
          <w:p w:rsidR="002914D6" w:rsidRDefault="002914D6">
            <w:pPr>
              <w:rPr>
                <w:rFonts w:ascii="Arial" w:hAnsi="Arial"/>
                <w:b/>
                <w:bCs/>
                <w:noProof w:val="0"/>
                <w:sz w:val="26"/>
                <w:szCs w:val="26"/>
                <w:rtl/>
              </w:rPr>
            </w:pPr>
          </w:p>
          <w:p w:rsidR="002914D6" w:rsidRPr="00D244AF" w:rsidRDefault="00D244AF" w:rsidP="00B306FF">
            <w:pPr>
              <w:rPr>
                <w:b/>
                <w:bCs/>
                <w:rtl/>
              </w:rPr>
            </w:pPr>
            <w:r w:rsidRPr="00D244AF">
              <w:rPr>
                <w:rFonts w:hint="cs"/>
                <w:b/>
                <w:bCs/>
                <w:rtl/>
              </w:rPr>
              <w:t>אלמוני</w:t>
            </w:r>
          </w:p>
          <w:p w:rsidR="00B306FF" w:rsidRPr="00B306FF" w:rsidRDefault="00B306FF" w:rsidP="00B306FF">
            <w:pPr>
              <w:rPr>
                <w:noProof w:val="0"/>
                <w:sz w:val="22"/>
                <w:szCs w:val="22"/>
                <w:rtl/>
              </w:rPr>
            </w:pPr>
            <w:r>
              <w:rPr>
                <w:rFonts w:hint="cs"/>
                <w:sz w:val="22"/>
                <w:szCs w:val="22"/>
                <w:rtl/>
              </w:rPr>
              <w:t>ע"י ב"כ עו"ד ארז הראל</w:t>
            </w:r>
          </w:p>
        </w:tc>
      </w:tr>
      <w:tr w:rsidR="00DA714E" w:rsidTr="00020144">
        <w:tc>
          <w:tcPr>
            <w:tcW w:w="8820" w:type="dxa"/>
            <w:gridSpan w:val="4"/>
          </w:tcPr>
          <w:p w:rsidR="00DA714E" w:rsidRDefault="00DA714E">
            <w:pPr>
              <w:rPr>
                <w:rFonts w:ascii="Arial" w:hAnsi="Arial"/>
                <w:b/>
                <w:bCs/>
                <w:noProof w:val="0"/>
                <w:sz w:val="26"/>
                <w:szCs w:val="26"/>
                <w:rtl/>
              </w:rPr>
            </w:pP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Pr="00B00055" w:rsidRDefault="00B00055" w:rsidP="000D5D87">
      <w:pPr>
        <w:pStyle w:val="ae"/>
        <w:numPr>
          <w:ilvl w:val="0"/>
          <w:numId w:val="1"/>
        </w:numPr>
        <w:spacing w:line="360" w:lineRule="auto"/>
        <w:jc w:val="both"/>
        <w:rPr>
          <w:rFonts w:ascii="Arial" w:hAnsi="Arial"/>
          <w:noProof w:val="0"/>
        </w:rPr>
      </w:pPr>
      <w:r>
        <w:rPr>
          <w:rFonts w:ascii="Arial" w:hAnsi="Arial" w:hint="cs"/>
          <w:noProof w:val="0"/>
          <w:rtl/>
        </w:rPr>
        <w:t xml:space="preserve">המשיב </w:t>
      </w:r>
      <w:r w:rsidR="006A2A8E">
        <w:rPr>
          <w:rFonts w:ascii="Arial" w:hAnsi="Arial" w:hint="cs"/>
          <w:noProof w:val="0"/>
          <w:rtl/>
        </w:rPr>
        <w:t xml:space="preserve">הגיש תביעה </w:t>
      </w:r>
      <w:r w:rsidR="006E353C">
        <w:rPr>
          <w:rFonts w:ascii="Arial" w:hAnsi="Arial" w:hint="cs"/>
          <w:noProof w:val="0"/>
          <w:rtl/>
        </w:rPr>
        <w:t xml:space="preserve">כספית לחיוב המבקשת </w:t>
      </w:r>
      <w:r>
        <w:rPr>
          <w:rFonts w:ascii="Arial" w:hAnsi="Arial" w:hint="cs"/>
          <w:noProof w:val="0"/>
          <w:rtl/>
        </w:rPr>
        <w:t xml:space="preserve">בסך של </w:t>
      </w:r>
      <w:r w:rsidR="00B37311">
        <w:rPr>
          <w:rFonts w:ascii="Arial" w:hAnsi="Arial" w:hint="cs"/>
          <w:noProof w:val="0"/>
          <w:rtl/>
        </w:rPr>
        <w:t xml:space="preserve">1,182,296 ₪ </w:t>
      </w:r>
      <w:r w:rsidR="006E353C">
        <w:rPr>
          <w:rFonts w:ascii="Arial" w:hAnsi="Arial" w:hint="cs"/>
          <w:noProof w:val="0"/>
          <w:rtl/>
        </w:rPr>
        <w:t xml:space="preserve">בגין נזקים שנגרמו לו </w:t>
      </w:r>
      <w:r>
        <w:rPr>
          <w:rFonts w:ascii="Arial" w:hAnsi="Arial" w:hint="cs"/>
          <w:noProof w:val="0"/>
          <w:rtl/>
        </w:rPr>
        <w:t>ב</w:t>
      </w:r>
      <w:r w:rsidR="000875D1">
        <w:rPr>
          <w:rFonts w:ascii="Arial" w:hAnsi="Arial" w:hint="cs"/>
          <w:noProof w:val="0"/>
          <w:rtl/>
        </w:rPr>
        <w:t>עקבות</w:t>
      </w:r>
      <w:r>
        <w:rPr>
          <w:rFonts w:ascii="Arial" w:hAnsi="Arial" w:hint="cs"/>
          <w:noProof w:val="0"/>
          <w:rtl/>
        </w:rPr>
        <w:t xml:space="preserve"> הפרת הסכם</w:t>
      </w:r>
      <w:r w:rsidR="006E353C">
        <w:rPr>
          <w:rFonts w:ascii="Arial" w:hAnsi="Arial" w:hint="cs"/>
          <w:noProof w:val="0"/>
          <w:rtl/>
        </w:rPr>
        <w:t>, ועניינה של החלטה זו ה</w:t>
      </w:r>
      <w:r w:rsidR="000D5D87">
        <w:rPr>
          <w:rFonts w:ascii="Arial" w:hAnsi="Arial" w:hint="cs"/>
          <w:noProof w:val="0"/>
          <w:rtl/>
        </w:rPr>
        <w:t>ו</w:t>
      </w:r>
      <w:r w:rsidR="006E353C">
        <w:rPr>
          <w:rFonts w:ascii="Arial" w:hAnsi="Arial" w:hint="cs"/>
          <w:noProof w:val="0"/>
          <w:rtl/>
        </w:rPr>
        <w:t xml:space="preserve">א </w:t>
      </w:r>
      <w:r w:rsidR="006E3ADA">
        <w:rPr>
          <w:rFonts w:ascii="Arial" w:hAnsi="Arial" w:hint="cs"/>
          <w:noProof w:val="0"/>
          <w:rtl/>
        </w:rPr>
        <w:t>ב</w:t>
      </w:r>
      <w:r w:rsidR="00B306FF" w:rsidRPr="00B00055">
        <w:rPr>
          <w:rFonts w:ascii="Arial" w:hAnsi="Arial" w:hint="cs"/>
          <w:noProof w:val="0"/>
          <w:rtl/>
        </w:rPr>
        <w:t>בקש</w:t>
      </w:r>
      <w:r>
        <w:rPr>
          <w:rFonts w:ascii="Arial" w:hAnsi="Arial" w:hint="cs"/>
          <w:noProof w:val="0"/>
          <w:rtl/>
        </w:rPr>
        <w:t>ת המבקשת</w:t>
      </w:r>
      <w:r w:rsidR="00B306FF" w:rsidRPr="00B00055">
        <w:rPr>
          <w:rFonts w:ascii="Arial" w:hAnsi="Arial" w:hint="cs"/>
          <w:noProof w:val="0"/>
          <w:rtl/>
        </w:rPr>
        <w:t xml:space="preserve"> לדחיית התובענה על הסף</w:t>
      </w:r>
      <w:r>
        <w:rPr>
          <w:rFonts w:ascii="Arial" w:hAnsi="Arial" w:hint="cs"/>
          <w:noProof w:val="0"/>
          <w:rtl/>
        </w:rPr>
        <w:t xml:space="preserve"> מפאת מעשה בית דין והעדר עילה</w:t>
      </w:r>
      <w:r w:rsidR="00B306FF" w:rsidRPr="00B00055">
        <w:rPr>
          <w:rFonts w:ascii="Arial" w:hAnsi="Arial" w:hint="cs"/>
          <w:noProof w:val="0"/>
          <w:rtl/>
        </w:rPr>
        <w:t>.</w:t>
      </w:r>
    </w:p>
    <w:p w:rsidR="000A6043" w:rsidRPr="000D5D87" w:rsidRDefault="000A6043" w:rsidP="000D5D87">
      <w:pPr>
        <w:pStyle w:val="ae"/>
        <w:spacing w:line="360" w:lineRule="auto"/>
        <w:jc w:val="both"/>
        <w:rPr>
          <w:rFonts w:ascii="Arial" w:hAnsi="Arial"/>
          <w:noProof w:val="0"/>
        </w:rPr>
      </w:pPr>
    </w:p>
    <w:p w:rsidR="00163102" w:rsidRDefault="000A6043" w:rsidP="00D244AF">
      <w:pPr>
        <w:pStyle w:val="ae"/>
        <w:numPr>
          <w:ilvl w:val="0"/>
          <w:numId w:val="1"/>
        </w:numPr>
        <w:spacing w:line="360" w:lineRule="auto"/>
        <w:jc w:val="both"/>
        <w:rPr>
          <w:rFonts w:ascii="Arial" w:hAnsi="Arial"/>
          <w:noProof w:val="0"/>
        </w:rPr>
      </w:pPr>
      <w:r w:rsidRPr="00F643E1">
        <w:rPr>
          <w:rFonts w:ascii="Arial" w:hAnsi="Arial" w:hint="cs"/>
          <w:noProof w:val="0"/>
          <w:rtl/>
        </w:rPr>
        <w:t>התובענה היא הליך נוסף בהת</w:t>
      </w:r>
      <w:r w:rsidR="00FF7984" w:rsidRPr="00F643E1">
        <w:rPr>
          <w:rFonts w:ascii="Arial" w:hAnsi="Arial" w:hint="cs"/>
          <w:noProof w:val="0"/>
          <w:rtl/>
        </w:rPr>
        <w:t>ד</w:t>
      </w:r>
      <w:r w:rsidRPr="00F643E1">
        <w:rPr>
          <w:rFonts w:ascii="Arial" w:hAnsi="Arial" w:hint="cs"/>
          <w:noProof w:val="0"/>
          <w:rtl/>
        </w:rPr>
        <w:t>יינות שבין הצדדים בעקבות הסכם גירושין</w:t>
      </w:r>
      <w:r w:rsidR="00B37311" w:rsidRPr="00F643E1">
        <w:rPr>
          <w:rFonts w:ascii="Arial" w:hAnsi="Arial" w:hint="cs"/>
          <w:noProof w:val="0"/>
          <w:rtl/>
        </w:rPr>
        <w:t xml:space="preserve"> מיום 30.4.20</w:t>
      </w:r>
      <w:r w:rsidRPr="00F643E1">
        <w:rPr>
          <w:rFonts w:ascii="Arial" w:hAnsi="Arial" w:hint="cs"/>
          <w:noProof w:val="0"/>
          <w:rtl/>
        </w:rPr>
        <w:t xml:space="preserve"> שאושר וקיבל תוקף של פסק דין ביום </w:t>
      </w:r>
      <w:r w:rsidR="00B37311" w:rsidRPr="00F643E1">
        <w:rPr>
          <w:rFonts w:ascii="Arial" w:hAnsi="Arial" w:hint="cs"/>
          <w:noProof w:val="0"/>
          <w:rtl/>
        </w:rPr>
        <w:t>21.5.20 (</w:t>
      </w:r>
      <w:r w:rsidR="006E353C">
        <w:rPr>
          <w:rFonts w:ascii="Arial" w:hAnsi="Arial" w:hint="cs"/>
          <w:noProof w:val="0"/>
          <w:rtl/>
        </w:rPr>
        <w:t>ולהלן: "</w:t>
      </w:r>
      <w:r w:rsidR="006E353C" w:rsidRPr="006E353C">
        <w:rPr>
          <w:rFonts w:ascii="Arial" w:hAnsi="Arial" w:hint="cs"/>
          <w:b/>
          <w:bCs/>
          <w:noProof w:val="0"/>
          <w:rtl/>
        </w:rPr>
        <w:t>ההסכם</w:t>
      </w:r>
      <w:r w:rsidR="006E353C">
        <w:rPr>
          <w:rFonts w:ascii="Arial" w:hAnsi="Arial" w:hint="cs"/>
          <w:noProof w:val="0"/>
          <w:rtl/>
        </w:rPr>
        <w:t xml:space="preserve">"; </w:t>
      </w:r>
      <w:r w:rsidR="00B37311" w:rsidRPr="00F643E1">
        <w:rPr>
          <w:rFonts w:ascii="Arial" w:hAnsi="Arial" w:hint="cs"/>
          <w:noProof w:val="0"/>
          <w:rtl/>
        </w:rPr>
        <w:t xml:space="preserve">תה"ס 22520-05-20) </w:t>
      </w:r>
      <w:r w:rsidRPr="00F643E1">
        <w:rPr>
          <w:rFonts w:ascii="Arial" w:hAnsi="Arial" w:hint="cs"/>
          <w:noProof w:val="0"/>
          <w:rtl/>
        </w:rPr>
        <w:t>במסגרתו</w:t>
      </w:r>
      <w:r w:rsidR="006E3ADA">
        <w:rPr>
          <w:rFonts w:ascii="Arial" w:hAnsi="Arial" w:hint="cs"/>
          <w:noProof w:val="0"/>
          <w:rtl/>
        </w:rPr>
        <w:t>, בין היתר,</w:t>
      </w:r>
      <w:r w:rsidRPr="00F643E1">
        <w:rPr>
          <w:rFonts w:ascii="Arial" w:hAnsi="Arial" w:hint="cs"/>
          <w:noProof w:val="0"/>
          <w:rtl/>
        </w:rPr>
        <w:t xml:space="preserve"> התחייבו הצדדים </w:t>
      </w:r>
      <w:r w:rsidR="002532E3" w:rsidRPr="00F643E1">
        <w:rPr>
          <w:rFonts w:ascii="Arial" w:hAnsi="Arial" w:hint="cs"/>
          <w:noProof w:val="0"/>
          <w:rtl/>
        </w:rPr>
        <w:t xml:space="preserve">למכור את הבית </w:t>
      </w:r>
      <w:r w:rsidR="006E3ADA">
        <w:rPr>
          <w:rFonts w:ascii="Arial" w:hAnsi="Arial" w:hint="cs"/>
          <w:noProof w:val="0"/>
          <w:rtl/>
        </w:rPr>
        <w:t xml:space="preserve">המשותף </w:t>
      </w:r>
      <w:r w:rsidR="002532E3" w:rsidRPr="00F643E1">
        <w:rPr>
          <w:rFonts w:ascii="Arial" w:hAnsi="Arial" w:hint="cs"/>
          <w:noProof w:val="0"/>
          <w:rtl/>
        </w:rPr>
        <w:t xml:space="preserve">בקיבוץ </w:t>
      </w:r>
      <w:r w:rsidR="00D244AF">
        <w:rPr>
          <w:rFonts w:ascii="Arial" w:hAnsi="Arial" w:hint="cs"/>
          <w:noProof w:val="0"/>
        </w:rPr>
        <w:t>XXX</w:t>
      </w:r>
      <w:r w:rsidR="006E3ADA">
        <w:rPr>
          <w:rFonts w:ascii="Arial" w:hAnsi="Arial" w:hint="cs"/>
          <w:noProof w:val="0"/>
          <w:rtl/>
        </w:rPr>
        <w:t xml:space="preserve"> </w:t>
      </w:r>
      <w:r w:rsidR="006E353C" w:rsidRPr="00F643E1">
        <w:rPr>
          <w:rFonts w:ascii="Arial" w:hAnsi="Arial" w:hint="cs"/>
          <w:noProof w:val="0"/>
          <w:rtl/>
        </w:rPr>
        <w:t>(ולהלן: "</w:t>
      </w:r>
      <w:r w:rsidR="006E353C" w:rsidRPr="00F643E1">
        <w:rPr>
          <w:rFonts w:ascii="Arial" w:hAnsi="Arial" w:hint="cs"/>
          <w:b/>
          <w:bCs/>
          <w:noProof w:val="0"/>
          <w:rtl/>
        </w:rPr>
        <w:t>הבית</w:t>
      </w:r>
      <w:r w:rsidR="006E353C" w:rsidRPr="00F643E1">
        <w:rPr>
          <w:rFonts w:ascii="Arial" w:hAnsi="Arial" w:hint="cs"/>
          <w:noProof w:val="0"/>
          <w:rtl/>
        </w:rPr>
        <w:t>")</w:t>
      </w:r>
      <w:r w:rsidR="006E353C">
        <w:rPr>
          <w:rFonts w:ascii="Arial" w:hAnsi="Arial" w:hint="cs"/>
          <w:noProof w:val="0"/>
          <w:rtl/>
        </w:rPr>
        <w:t xml:space="preserve"> </w:t>
      </w:r>
      <w:r w:rsidR="0024192E" w:rsidRPr="00F643E1">
        <w:rPr>
          <w:rFonts w:ascii="Arial" w:hAnsi="Arial" w:hint="cs"/>
          <w:noProof w:val="0"/>
          <w:rtl/>
        </w:rPr>
        <w:t>ו</w:t>
      </w:r>
      <w:r w:rsidR="006E3ADA">
        <w:rPr>
          <w:rFonts w:ascii="Arial" w:hAnsi="Arial" w:hint="cs"/>
          <w:noProof w:val="0"/>
          <w:rtl/>
        </w:rPr>
        <w:t>הסכימו</w:t>
      </w:r>
      <w:r w:rsidR="000875D1">
        <w:rPr>
          <w:rFonts w:ascii="Arial" w:hAnsi="Arial" w:hint="cs"/>
          <w:noProof w:val="0"/>
          <w:rtl/>
        </w:rPr>
        <w:t xml:space="preserve"> </w:t>
      </w:r>
      <w:r w:rsidR="006E3ADA">
        <w:rPr>
          <w:rFonts w:ascii="Arial" w:hAnsi="Arial" w:hint="cs"/>
          <w:noProof w:val="0"/>
          <w:rtl/>
        </w:rPr>
        <w:t>ש</w:t>
      </w:r>
      <w:r w:rsidR="0024192E" w:rsidRPr="00F643E1">
        <w:rPr>
          <w:rFonts w:ascii="Arial" w:hAnsi="Arial" w:hint="cs"/>
          <w:noProof w:val="0"/>
          <w:rtl/>
        </w:rPr>
        <w:t>עד למכירתו יגור בו המשיב</w:t>
      </w:r>
      <w:r w:rsidR="005B504B">
        <w:rPr>
          <w:rFonts w:ascii="Arial" w:hAnsi="Arial" w:hint="cs"/>
          <w:noProof w:val="0"/>
          <w:rtl/>
        </w:rPr>
        <w:t xml:space="preserve"> שישלם למבקשת דמי שכרות בסך של 2,500 ₪ לחודש</w:t>
      </w:r>
      <w:r w:rsidRPr="00F643E1">
        <w:rPr>
          <w:rFonts w:ascii="Arial" w:hAnsi="Arial" w:hint="cs"/>
          <w:noProof w:val="0"/>
          <w:rtl/>
        </w:rPr>
        <w:t xml:space="preserve">. </w:t>
      </w:r>
      <w:r w:rsidR="00F643E1" w:rsidRPr="00F643E1">
        <w:rPr>
          <w:rFonts w:ascii="Arial" w:hAnsi="Arial" w:hint="cs"/>
          <w:noProof w:val="0"/>
          <w:rtl/>
        </w:rPr>
        <w:t xml:space="preserve">משמנעה </w:t>
      </w:r>
      <w:r w:rsidR="005B504B">
        <w:rPr>
          <w:rFonts w:ascii="Arial" w:hAnsi="Arial" w:hint="cs"/>
          <w:noProof w:val="0"/>
          <w:rtl/>
        </w:rPr>
        <w:t xml:space="preserve">המבקשת </w:t>
      </w:r>
      <w:r w:rsidR="00F643E1" w:rsidRPr="00F643E1">
        <w:rPr>
          <w:rFonts w:ascii="Arial" w:hAnsi="Arial" w:hint="cs"/>
          <w:noProof w:val="0"/>
          <w:rtl/>
        </w:rPr>
        <w:t xml:space="preserve">את מכירת הבית </w:t>
      </w:r>
      <w:r w:rsidR="005B504B">
        <w:rPr>
          <w:rFonts w:ascii="Arial" w:hAnsi="Arial" w:hint="cs"/>
          <w:noProof w:val="0"/>
          <w:rtl/>
        </w:rPr>
        <w:t>עתר</w:t>
      </w:r>
      <w:r w:rsidR="00FF7984" w:rsidRPr="00F643E1">
        <w:rPr>
          <w:rFonts w:ascii="Arial" w:hAnsi="Arial" w:hint="cs"/>
          <w:noProof w:val="0"/>
          <w:rtl/>
        </w:rPr>
        <w:t xml:space="preserve"> המשיב ביום </w:t>
      </w:r>
      <w:r w:rsidR="00B37311" w:rsidRPr="00F643E1">
        <w:rPr>
          <w:rFonts w:ascii="Arial" w:hAnsi="Arial" w:hint="cs"/>
          <w:noProof w:val="0"/>
          <w:rtl/>
        </w:rPr>
        <w:t>12.1.21</w:t>
      </w:r>
      <w:r w:rsidR="00FF7984" w:rsidRPr="00F643E1">
        <w:rPr>
          <w:rFonts w:ascii="Arial" w:hAnsi="Arial" w:hint="cs"/>
          <w:noProof w:val="0"/>
          <w:rtl/>
        </w:rPr>
        <w:t xml:space="preserve"> </w:t>
      </w:r>
      <w:r w:rsidR="005B504B">
        <w:rPr>
          <w:rFonts w:ascii="Arial" w:hAnsi="Arial" w:hint="cs"/>
          <w:noProof w:val="0"/>
          <w:rtl/>
        </w:rPr>
        <w:t>לאכוף</w:t>
      </w:r>
      <w:r w:rsidR="005A0D03">
        <w:rPr>
          <w:rFonts w:ascii="Arial" w:hAnsi="Arial" w:hint="cs"/>
          <w:noProof w:val="0"/>
          <w:rtl/>
        </w:rPr>
        <w:t xml:space="preserve"> </w:t>
      </w:r>
      <w:r w:rsidR="005B504B">
        <w:rPr>
          <w:rFonts w:ascii="Arial" w:hAnsi="Arial" w:hint="cs"/>
          <w:noProof w:val="0"/>
          <w:rtl/>
        </w:rPr>
        <w:t>עליה את המכירה</w:t>
      </w:r>
      <w:r w:rsidR="005A0D03">
        <w:rPr>
          <w:rFonts w:ascii="Arial" w:hAnsi="Arial" w:hint="cs"/>
          <w:noProof w:val="0"/>
          <w:rtl/>
        </w:rPr>
        <w:t xml:space="preserve"> </w:t>
      </w:r>
      <w:r w:rsidR="00B37311" w:rsidRPr="00F643E1">
        <w:rPr>
          <w:rFonts w:ascii="Arial" w:hAnsi="Arial" w:hint="cs"/>
          <w:noProof w:val="0"/>
          <w:rtl/>
        </w:rPr>
        <w:t>(תה"ס 21092-01-21)</w:t>
      </w:r>
      <w:r w:rsidR="005B504B">
        <w:rPr>
          <w:rFonts w:ascii="Arial" w:hAnsi="Arial" w:hint="cs"/>
          <w:noProof w:val="0"/>
          <w:rtl/>
        </w:rPr>
        <w:t>.</w:t>
      </w:r>
      <w:r w:rsidR="00B37311" w:rsidRPr="00F643E1">
        <w:rPr>
          <w:rFonts w:ascii="Arial" w:hAnsi="Arial" w:hint="cs"/>
          <w:noProof w:val="0"/>
          <w:rtl/>
        </w:rPr>
        <w:t xml:space="preserve"> </w:t>
      </w:r>
      <w:r w:rsidR="00FF7984" w:rsidRPr="00F643E1">
        <w:rPr>
          <w:rFonts w:ascii="Arial" w:hAnsi="Arial" w:hint="cs"/>
          <w:noProof w:val="0"/>
          <w:rtl/>
        </w:rPr>
        <w:t xml:space="preserve">כן </w:t>
      </w:r>
      <w:r w:rsidR="00B37311" w:rsidRPr="00F643E1">
        <w:rPr>
          <w:rFonts w:ascii="Arial" w:hAnsi="Arial" w:hint="cs"/>
          <w:noProof w:val="0"/>
          <w:rtl/>
        </w:rPr>
        <w:t>עתר</w:t>
      </w:r>
      <w:r w:rsidR="005B504B">
        <w:rPr>
          <w:rFonts w:ascii="Arial" w:hAnsi="Arial" w:hint="cs"/>
          <w:noProof w:val="0"/>
          <w:rtl/>
        </w:rPr>
        <w:t xml:space="preserve"> המשיב</w:t>
      </w:r>
      <w:r w:rsidR="00B37311" w:rsidRPr="00F643E1">
        <w:rPr>
          <w:rFonts w:ascii="Arial" w:hAnsi="Arial" w:hint="cs"/>
          <w:noProof w:val="0"/>
          <w:rtl/>
        </w:rPr>
        <w:t xml:space="preserve"> כנגד</w:t>
      </w:r>
      <w:r w:rsidR="005B504B">
        <w:rPr>
          <w:rFonts w:ascii="Arial" w:hAnsi="Arial" w:hint="cs"/>
          <w:noProof w:val="0"/>
          <w:rtl/>
        </w:rPr>
        <w:t xml:space="preserve"> </w:t>
      </w:r>
      <w:r w:rsidR="00B37311" w:rsidRPr="00F643E1">
        <w:rPr>
          <w:rFonts w:ascii="Arial" w:hAnsi="Arial" w:hint="cs"/>
          <w:noProof w:val="0"/>
          <w:rtl/>
        </w:rPr>
        <w:t>ה</w:t>
      </w:r>
      <w:r w:rsidR="005B504B">
        <w:rPr>
          <w:rFonts w:ascii="Arial" w:hAnsi="Arial" w:hint="cs"/>
          <w:noProof w:val="0"/>
          <w:rtl/>
        </w:rPr>
        <w:t>מבקשת</w:t>
      </w:r>
      <w:r w:rsidR="00B37311" w:rsidRPr="00F643E1">
        <w:rPr>
          <w:rFonts w:ascii="Arial" w:hAnsi="Arial" w:hint="cs"/>
          <w:noProof w:val="0"/>
          <w:rtl/>
        </w:rPr>
        <w:t xml:space="preserve"> וכנגד אביה בתביעה </w:t>
      </w:r>
      <w:r w:rsidR="0024192E" w:rsidRPr="00F643E1">
        <w:rPr>
          <w:rFonts w:ascii="Arial" w:hAnsi="Arial" w:hint="cs"/>
          <w:noProof w:val="0"/>
          <w:rtl/>
        </w:rPr>
        <w:t xml:space="preserve">כספית </w:t>
      </w:r>
      <w:r w:rsidR="00B37311" w:rsidRPr="00F643E1">
        <w:rPr>
          <w:rFonts w:ascii="Arial" w:hAnsi="Arial" w:hint="cs"/>
          <w:noProof w:val="0"/>
          <w:rtl/>
        </w:rPr>
        <w:t xml:space="preserve">נזיקית </w:t>
      </w:r>
      <w:r w:rsidR="005A0D03">
        <w:rPr>
          <w:rFonts w:ascii="Arial" w:hAnsi="Arial" w:hint="cs"/>
          <w:noProof w:val="0"/>
          <w:rtl/>
        </w:rPr>
        <w:t xml:space="preserve">בסך של 470,000 ₪ </w:t>
      </w:r>
      <w:r w:rsidR="00B37311" w:rsidRPr="00F643E1">
        <w:rPr>
          <w:rFonts w:ascii="Arial" w:hAnsi="Arial" w:hint="cs"/>
          <w:noProof w:val="0"/>
          <w:rtl/>
        </w:rPr>
        <w:t>בגין לשון הרע</w:t>
      </w:r>
      <w:r w:rsidR="00EE46A4">
        <w:rPr>
          <w:rFonts w:ascii="Arial" w:hAnsi="Arial" w:hint="cs"/>
          <w:noProof w:val="0"/>
          <w:rtl/>
        </w:rPr>
        <w:t xml:space="preserve"> בעקבות הגשת תלונת שווא למשטרת ישראל; בגין נטילת נשקו; בגין </w:t>
      </w:r>
      <w:r w:rsidR="006E3ADA">
        <w:rPr>
          <w:rFonts w:ascii="Arial" w:hAnsi="Arial" w:hint="cs"/>
          <w:noProof w:val="0"/>
          <w:rtl/>
        </w:rPr>
        <w:t xml:space="preserve">עגמת נפש, בגין </w:t>
      </w:r>
      <w:r w:rsidR="00EE46A4">
        <w:rPr>
          <w:rFonts w:ascii="Arial" w:hAnsi="Arial" w:hint="cs"/>
          <w:noProof w:val="0"/>
          <w:rtl/>
        </w:rPr>
        <w:t>ההפסד הממוני שנגרם לו בעקבות מאמץ השווא למכירת הבית; ובגין אובדן הכנסה</w:t>
      </w:r>
      <w:r w:rsidR="008B5CD8">
        <w:rPr>
          <w:rFonts w:ascii="Arial" w:hAnsi="Arial" w:hint="cs"/>
          <w:noProof w:val="0"/>
          <w:rtl/>
        </w:rPr>
        <w:t xml:space="preserve"> </w:t>
      </w:r>
      <w:r w:rsidR="008B5CD8" w:rsidRPr="00F643E1">
        <w:rPr>
          <w:rFonts w:ascii="Arial" w:hAnsi="Arial" w:hint="cs"/>
          <w:noProof w:val="0"/>
          <w:rtl/>
        </w:rPr>
        <w:t>(</w:t>
      </w:r>
      <w:r w:rsidR="008B5CD8">
        <w:rPr>
          <w:rFonts w:ascii="Arial" w:hAnsi="Arial" w:hint="cs"/>
          <w:noProof w:val="0"/>
          <w:rtl/>
        </w:rPr>
        <w:t>ולהלן: "</w:t>
      </w:r>
      <w:r w:rsidR="008B5CD8" w:rsidRPr="006E353C">
        <w:rPr>
          <w:rFonts w:ascii="Arial" w:hAnsi="Arial" w:hint="cs"/>
          <w:b/>
          <w:bCs/>
          <w:noProof w:val="0"/>
          <w:rtl/>
        </w:rPr>
        <w:t>ההליך הקודם</w:t>
      </w:r>
      <w:r w:rsidR="008B5CD8">
        <w:rPr>
          <w:rFonts w:ascii="Arial" w:hAnsi="Arial" w:hint="cs"/>
          <w:noProof w:val="0"/>
          <w:rtl/>
        </w:rPr>
        <w:t xml:space="preserve">"; </w:t>
      </w:r>
      <w:r w:rsidR="008B5CD8" w:rsidRPr="00F643E1">
        <w:rPr>
          <w:rFonts w:ascii="Arial" w:hAnsi="Arial" w:hint="cs"/>
          <w:noProof w:val="0"/>
          <w:rtl/>
        </w:rPr>
        <w:t>תמ"ש 2112</w:t>
      </w:r>
      <w:r w:rsidR="008B5CD8">
        <w:rPr>
          <w:rFonts w:ascii="Arial" w:hAnsi="Arial" w:hint="cs"/>
          <w:noProof w:val="0"/>
          <w:rtl/>
        </w:rPr>
        <w:t>7</w:t>
      </w:r>
      <w:r w:rsidR="008B5CD8" w:rsidRPr="00F643E1">
        <w:rPr>
          <w:rFonts w:ascii="Arial" w:hAnsi="Arial" w:hint="cs"/>
          <w:noProof w:val="0"/>
          <w:rtl/>
        </w:rPr>
        <w:t>-01-21).</w:t>
      </w:r>
      <w:r w:rsidR="00770F59">
        <w:rPr>
          <w:rFonts w:ascii="Arial" w:hAnsi="Arial" w:hint="cs"/>
          <w:noProof w:val="0"/>
          <w:rtl/>
        </w:rPr>
        <w:t xml:space="preserve"> </w:t>
      </w:r>
      <w:r w:rsidR="005B504B">
        <w:rPr>
          <w:rFonts w:ascii="Arial" w:hAnsi="Arial" w:hint="cs"/>
          <w:noProof w:val="0"/>
          <w:rtl/>
        </w:rPr>
        <w:t xml:space="preserve">מנגד, </w:t>
      </w:r>
      <w:r w:rsidR="002532E3" w:rsidRPr="00F643E1">
        <w:rPr>
          <w:rFonts w:ascii="Arial" w:hAnsi="Arial" w:hint="cs"/>
          <w:noProof w:val="0"/>
          <w:rtl/>
        </w:rPr>
        <w:t>המבקשת עתרה כנגדו בתובענה לביטול ההסכם (</w:t>
      </w:r>
      <w:r w:rsidR="0024192E" w:rsidRPr="00F643E1">
        <w:rPr>
          <w:rFonts w:ascii="Arial" w:hAnsi="Arial" w:hint="cs"/>
          <w:noProof w:val="0"/>
          <w:rtl/>
        </w:rPr>
        <w:t>תה"ס</w:t>
      </w:r>
      <w:r w:rsidR="002532E3" w:rsidRPr="00F643E1">
        <w:rPr>
          <w:rFonts w:ascii="Arial" w:hAnsi="Arial" w:hint="cs"/>
          <w:noProof w:val="0"/>
          <w:rtl/>
        </w:rPr>
        <w:t xml:space="preserve"> 27963-02-21). </w:t>
      </w:r>
    </w:p>
    <w:p w:rsidR="006E3ADA" w:rsidRDefault="00FF7984" w:rsidP="000D5D87">
      <w:pPr>
        <w:pStyle w:val="ae"/>
        <w:spacing w:line="360" w:lineRule="auto"/>
        <w:jc w:val="both"/>
        <w:rPr>
          <w:rFonts w:ascii="Arial" w:hAnsi="Arial"/>
          <w:noProof w:val="0"/>
          <w:rtl/>
        </w:rPr>
      </w:pPr>
      <w:r w:rsidRPr="00F643E1">
        <w:rPr>
          <w:rFonts w:ascii="Arial" w:hAnsi="Arial" w:hint="cs"/>
          <w:noProof w:val="0"/>
          <w:rtl/>
        </w:rPr>
        <w:t xml:space="preserve">בפסק דין מיום </w:t>
      </w:r>
      <w:r w:rsidR="002532E3" w:rsidRPr="00F643E1">
        <w:rPr>
          <w:rFonts w:ascii="Arial" w:hAnsi="Arial" w:hint="cs"/>
          <w:noProof w:val="0"/>
          <w:rtl/>
        </w:rPr>
        <w:t>27.3.24 נדחתה תביעת המבקשת לביטול ההסכם ו</w:t>
      </w:r>
      <w:r w:rsidRPr="00F643E1">
        <w:rPr>
          <w:rFonts w:ascii="Arial" w:hAnsi="Arial" w:hint="cs"/>
          <w:noProof w:val="0"/>
          <w:rtl/>
        </w:rPr>
        <w:t xml:space="preserve">התקבלה תביעת המשיב </w:t>
      </w:r>
      <w:r w:rsidR="002532E3" w:rsidRPr="00F643E1">
        <w:rPr>
          <w:rFonts w:ascii="Arial" w:hAnsi="Arial" w:hint="cs"/>
          <w:noProof w:val="0"/>
          <w:rtl/>
        </w:rPr>
        <w:t xml:space="preserve">לאכיפתו </w:t>
      </w:r>
      <w:r w:rsidR="005B504B">
        <w:rPr>
          <w:rFonts w:ascii="Arial" w:hAnsi="Arial" w:hint="cs"/>
          <w:noProof w:val="0"/>
          <w:rtl/>
        </w:rPr>
        <w:t>ו</w:t>
      </w:r>
      <w:r w:rsidR="00920DD8" w:rsidRPr="00F643E1">
        <w:rPr>
          <w:rFonts w:ascii="Arial" w:hAnsi="Arial" w:hint="cs"/>
          <w:noProof w:val="0"/>
          <w:rtl/>
        </w:rPr>
        <w:t>מונה כונס נכסים למכירת הבית (</w:t>
      </w:r>
      <w:r w:rsidR="006E3ADA">
        <w:rPr>
          <w:rFonts w:ascii="Arial" w:hAnsi="Arial" w:hint="cs"/>
          <w:noProof w:val="0"/>
          <w:rtl/>
        </w:rPr>
        <w:t xml:space="preserve">אך נקבע </w:t>
      </w:r>
      <w:r w:rsidR="00920DD8" w:rsidRPr="00F643E1">
        <w:rPr>
          <w:rFonts w:ascii="Arial" w:hAnsi="Arial" w:hint="cs"/>
          <w:noProof w:val="0"/>
          <w:rtl/>
        </w:rPr>
        <w:t xml:space="preserve">שמינויו </w:t>
      </w:r>
      <w:r w:rsidR="006E3ADA">
        <w:rPr>
          <w:rFonts w:ascii="Arial" w:hAnsi="Arial" w:hint="cs"/>
          <w:noProof w:val="0"/>
          <w:rtl/>
        </w:rPr>
        <w:t>י</w:t>
      </w:r>
      <w:r w:rsidR="00920DD8" w:rsidRPr="00F643E1">
        <w:rPr>
          <w:rFonts w:ascii="Arial" w:hAnsi="Arial" w:hint="cs"/>
          <w:noProof w:val="0"/>
          <w:rtl/>
        </w:rPr>
        <w:t>כנס לתוקף לאחר שהות של שלושה חודשים ש</w:t>
      </w:r>
      <w:r w:rsidR="0024192E" w:rsidRPr="00F643E1">
        <w:rPr>
          <w:rFonts w:ascii="Arial" w:hAnsi="Arial" w:hint="cs"/>
          <w:noProof w:val="0"/>
          <w:rtl/>
        </w:rPr>
        <w:t>ניתנה לצדדים למכ</w:t>
      </w:r>
      <w:r w:rsidR="00920DD8" w:rsidRPr="00F643E1">
        <w:rPr>
          <w:rFonts w:ascii="Arial" w:hAnsi="Arial" w:hint="cs"/>
          <w:noProof w:val="0"/>
          <w:rtl/>
        </w:rPr>
        <w:t>י</w:t>
      </w:r>
      <w:r w:rsidR="0024192E" w:rsidRPr="00F643E1">
        <w:rPr>
          <w:rFonts w:ascii="Arial" w:hAnsi="Arial" w:hint="cs"/>
          <w:noProof w:val="0"/>
          <w:rtl/>
        </w:rPr>
        <w:t>רת הבית בכוחות עצמם</w:t>
      </w:r>
      <w:r w:rsidR="00920DD8" w:rsidRPr="00F643E1">
        <w:rPr>
          <w:rFonts w:ascii="Arial" w:hAnsi="Arial" w:hint="cs"/>
          <w:noProof w:val="0"/>
          <w:rtl/>
        </w:rPr>
        <w:t>). התביעה הכספית נדחתה</w:t>
      </w:r>
      <w:r w:rsidR="00B91D00">
        <w:rPr>
          <w:rFonts w:ascii="Arial" w:hAnsi="Arial" w:hint="cs"/>
          <w:noProof w:val="0"/>
          <w:rtl/>
        </w:rPr>
        <w:t xml:space="preserve">. נקבע שהמשיב לא הוכיח את הטענה לפיה נגרם לו נזק בגין מניעת המבקשת את מכירת </w:t>
      </w:r>
      <w:r w:rsidR="00977CAE">
        <w:rPr>
          <w:rFonts w:ascii="Arial" w:hAnsi="Arial" w:hint="cs"/>
          <w:noProof w:val="0"/>
          <w:rtl/>
        </w:rPr>
        <w:t>הב</w:t>
      </w:r>
      <w:r w:rsidR="00B91D00">
        <w:rPr>
          <w:rFonts w:ascii="Arial" w:hAnsi="Arial" w:hint="cs"/>
          <w:noProof w:val="0"/>
          <w:rtl/>
        </w:rPr>
        <w:t xml:space="preserve">ית (סעיף 75) </w:t>
      </w:r>
      <w:r w:rsidR="00977CAE">
        <w:rPr>
          <w:rFonts w:ascii="Arial" w:hAnsi="Arial" w:hint="cs"/>
          <w:noProof w:val="0"/>
          <w:rtl/>
        </w:rPr>
        <w:t>ונדחתה תביעת לשון הר</w:t>
      </w:r>
      <w:r w:rsidR="00B91D00">
        <w:rPr>
          <w:rFonts w:ascii="Arial" w:hAnsi="Arial" w:hint="cs"/>
          <w:noProof w:val="0"/>
          <w:rtl/>
        </w:rPr>
        <w:t xml:space="preserve">ע בגין הגשת התלונה (סעיף 82; </w:t>
      </w:r>
      <w:r w:rsidRPr="00F643E1">
        <w:rPr>
          <w:rFonts w:ascii="Arial" w:hAnsi="Arial" w:hint="cs"/>
          <w:noProof w:val="0"/>
          <w:rtl/>
        </w:rPr>
        <w:t>ולהלן: "</w:t>
      </w:r>
      <w:r w:rsidRPr="00F643E1">
        <w:rPr>
          <w:rFonts w:ascii="Arial" w:hAnsi="Arial" w:hint="cs"/>
          <w:b/>
          <w:bCs/>
          <w:noProof w:val="0"/>
          <w:rtl/>
        </w:rPr>
        <w:t>פסק הדין</w:t>
      </w:r>
      <w:r w:rsidRPr="00F643E1">
        <w:rPr>
          <w:rFonts w:ascii="Arial" w:hAnsi="Arial" w:hint="cs"/>
          <w:noProof w:val="0"/>
          <w:rtl/>
        </w:rPr>
        <w:t xml:space="preserve">"). </w:t>
      </w:r>
    </w:p>
    <w:p w:rsidR="00F643E1" w:rsidRPr="00F643E1" w:rsidRDefault="00B91D00" w:rsidP="000D5D87">
      <w:pPr>
        <w:pStyle w:val="ae"/>
        <w:spacing w:line="360" w:lineRule="auto"/>
        <w:jc w:val="both"/>
        <w:rPr>
          <w:rFonts w:ascii="Arial" w:hAnsi="Arial"/>
          <w:noProof w:val="0"/>
          <w:rtl/>
        </w:rPr>
      </w:pPr>
      <w:r>
        <w:rPr>
          <w:rFonts w:ascii="Arial" w:hAnsi="Arial" w:hint="cs"/>
          <w:noProof w:val="0"/>
          <w:rtl/>
        </w:rPr>
        <w:t>להשלמת התמונה יפורט ש</w:t>
      </w:r>
      <w:r w:rsidR="006E3ADA">
        <w:rPr>
          <w:rFonts w:ascii="Arial" w:hAnsi="Arial" w:hint="cs"/>
          <w:noProof w:val="0"/>
          <w:rtl/>
        </w:rPr>
        <w:t>הצדדים לא הצליחו למכור</w:t>
      </w:r>
      <w:r w:rsidR="009D4400">
        <w:rPr>
          <w:rFonts w:ascii="Arial" w:hAnsi="Arial" w:hint="cs"/>
          <w:noProof w:val="0"/>
          <w:rtl/>
        </w:rPr>
        <w:t xml:space="preserve"> את הבית בכוחות עצמם ומינוי כונס הנכסים נכנס לתוקפו. ברם, </w:t>
      </w:r>
      <w:r w:rsidR="00CA3B95">
        <w:rPr>
          <w:rFonts w:ascii="Arial" w:hAnsi="Arial" w:hint="cs"/>
          <w:noProof w:val="0"/>
          <w:rtl/>
        </w:rPr>
        <w:t>ביום 2.11.23 ניתן תוקף של פסק דין להסכמות הצדדים (שהוגשו במסגרת בקש</w:t>
      </w:r>
      <w:r w:rsidR="00630F64">
        <w:rPr>
          <w:rFonts w:ascii="Arial" w:hAnsi="Arial" w:hint="cs"/>
          <w:noProof w:val="0"/>
          <w:rtl/>
        </w:rPr>
        <w:t>ת הכונס</w:t>
      </w:r>
      <w:r w:rsidR="00CA3B95">
        <w:rPr>
          <w:rFonts w:ascii="Arial" w:hAnsi="Arial" w:hint="cs"/>
          <w:noProof w:val="0"/>
          <w:rtl/>
        </w:rPr>
        <w:t xml:space="preserve"> למתן הוראות</w:t>
      </w:r>
      <w:r w:rsidR="0023762E">
        <w:rPr>
          <w:rFonts w:ascii="Arial" w:hAnsi="Arial" w:hint="cs"/>
          <w:noProof w:val="0"/>
          <w:rtl/>
        </w:rPr>
        <w:t xml:space="preserve"> תמ"ש 4638-11-23</w:t>
      </w:r>
      <w:r w:rsidR="00CA3B95">
        <w:rPr>
          <w:rFonts w:ascii="Arial" w:hAnsi="Arial" w:hint="cs"/>
          <w:noProof w:val="0"/>
          <w:rtl/>
        </w:rPr>
        <w:t xml:space="preserve">) לפיהן </w:t>
      </w:r>
      <w:r w:rsidR="009D4400">
        <w:rPr>
          <w:rFonts w:ascii="Arial" w:hAnsi="Arial" w:hint="cs"/>
          <w:noProof w:val="0"/>
          <w:rtl/>
        </w:rPr>
        <w:t xml:space="preserve">לצורך השלמת תהליך 'שיוך' הבית </w:t>
      </w:r>
      <w:r w:rsidR="00CA3B95">
        <w:rPr>
          <w:rFonts w:ascii="Arial" w:hAnsi="Arial" w:hint="cs"/>
          <w:noProof w:val="0"/>
          <w:rtl/>
        </w:rPr>
        <w:t>תדחה מכירת</w:t>
      </w:r>
      <w:r w:rsidR="009D4400">
        <w:rPr>
          <w:rFonts w:ascii="Arial" w:hAnsi="Arial" w:hint="cs"/>
          <w:noProof w:val="0"/>
          <w:rtl/>
        </w:rPr>
        <w:t>ו</w:t>
      </w:r>
      <w:r w:rsidR="00CA3B95">
        <w:rPr>
          <w:rFonts w:ascii="Arial" w:hAnsi="Arial" w:hint="cs"/>
          <w:noProof w:val="0"/>
          <w:rtl/>
        </w:rPr>
        <w:t xml:space="preserve"> למשך שנה במהלכה יושכר הבית (לאחר שהחזקה בו נמסרה לכונס)</w:t>
      </w:r>
      <w:r w:rsidR="008E115A">
        <w:rPr>
          <w:rFonts w:ascii="Arial" w:hAnsi="Arial" w:hint="cs"/>
          <w:noProof w:val="0"/>
          <w:rtl/>
        </w:rPr>
        <w:t>.</w:t>
      </w:r>
    </w:p>
    <w:p w:rsidR="0023762E" w:rsidRPr="00280FBE" w:rsidRDefault="00FF7984" w:rsidP="00305795">
      <w:pPr>
        <w:pStyle w:val="ae"/>
        <w:numPr>
          <w:ilvl w:val="0"/>
          <w:numId w:val="1"/>
        </w:numPr>
        <w:spacing w:line="360" w:lineRule="auto"/>
        <w:jc w:val="both"/>
        <w:rPr>
          <w:rFonts w:ascii="Arial" w:hAnsi="Arial"/>
          <w:noProof w:val="0"/>
        </w:rPr>
      </w:pPr>
      <w:r w:rsidRPr="00280FBE">
        <w:rPr>
          <w:rFonts w:ascii="Arial" w:hAnsi="Arial" w:hint="cs"/>
          <w:noProof w:val="0"/>
          <w:rtl/>
        </w:rPr>
        <w:lastRenderedPageBreak/>
        <w:t xml:space="preserve">ביום </w:t>
      </w:r>
      <w:r w:rsidR="002532E3" w:rsidRPr="00280FBE">
        <w:rPr>
          <w:rFonts w:ascii="Arial" w:hAnsi="Arial" w:hint="cs"/>
          <w:noProof w:val="0"/>
          <w:rtl/>
        </w:rPr>
        <w:t xml:space="preserve">3.7.23 </w:t>
      </w:r>
      <w:r w:rsidRPr="00280FBE">
        <w:rPr>
          <w:rFonts w:ascii="Arial" w:hAnsi="Arial" w:hint="cs"/>
          <w:noProof w:val="0"/>
          <w:rtl/>
        </w:rPr>
        <w:t xml:space="preserve">עתרה המבקשת בתובענה </w:t>
      </w:r>
      <w:r w:rsidR="002532E3" w:rsidRPr="00280FBE">
        <w:rPr>
          <w:rFonts w:ascii="Arial" w:hAnsi="Arial" w:hint="cs"/>
          <w:noProof w:val="0"/>
          <w:rtl/>
        </w:rPr>
        <w:t xml:space="preserve">כספית כנגד המשיב בסך של </w:t>
      </w:r>
      <w:r w:rsidR="008E115A" w:rsidRPr="00280FBE">
        <w:rPr>
          <w:rFonts w:ascii="Arial" w:hAnsi="Arial" w:hint="cs"/>
          <w:noProof w:val="0"/>
          <w:rtl/>
        </w:rPr>
        <w:t xml:space="preserve">57,615.23 ₪ </w:t>
      </w:r>
      <w:r w:rsidR="002532E3" w:rsidRPr="00280FBE">
        <w:rPr>
          <w:rFonts w:ascii="Arial" w:hAnsi="Arial" w:hint="cs"/>
          <w:noProof w:val="0"/>
          <w:rtl/>
        </w:rPr>
        <w:t xml:space="preserve">בגין תשלום דמי </w:t>
      </w:r>
      <w:r w:rsidR="00163102" w:rsidRPr="00280FBE">
        <w:rPr>
          <w:rFonts w:ascii="Arial" w:hAnsi="Arial" w:hint="cs"/>
          <w:noProof w:val="0"/>
          <w:rtl/>
        </w:rPr>
        <w:t xml:space="preserve">שימוש בעד תקופה של </w:t>
      </w:r>
      <w:r w:rsidR="00EE46A4" w:rsidRPr="00280FBE">
        <w:rPr>
          <w:rFonts w:ascii="Arial" w:hAnsi="Arial" w:hint="cs"/>
          <w:noProof w:val="0"/>
          <w:rtl/>
        </w:rPr>
        <w:t>20</w:t>
      </w:r>
      <w:r w:rsidR="00163102" w:rsidRPr="00280FBE">
        <w:rPr>
          <w:rFonts w:ascii="Arial" w:hAnsi="Arial" w:hint="cs"/>
          <w:noProof w:val="0"/>
          <w:rtl/>
        </w:rPr>
        <w:t xml:space="preserve"> חודשים שהתגורר בבית</w:t>
      </w:r>
      <w:r w:rsidR="002532E3" w:rsidRPr="00280FBE">
        <w:rPr>
          <w:rFonts w:ascii="Arial" w:hAnsi="Arial" w:hint="cs"/>
          <w:noProof w:val="0"/>
          <w:rtl/>
        </w:rPr>
        <w:t xml:space="preserve"> </w:t>
      </w:r>
      <w:r w:rsidRPr="00280FBE">
        <w:rPr>
          <w:rFonts w:ascii="Arial" w:hAnsi="Arial" w:hint="cs"/>
          <w:noProof w:val="0"/>
          <w:rtl/>
        </w:rPr>
        <w:t>(</w:t>
      </w:r>
      <w:r w:rsidR="002532E3" w:rsidRPr="00280FBE">
        <w:rPr>
          <w:rFonts w:ascii="Arial" w:hAnsi="Arial" w:hint="cs"/>
          <w:noProof w:val="0"/>
          <w:rtl/>
        </w:rPr>
        <w:t>תלה"מ 5954-07-23</w:t>
      </w:r>
      <w:r w:rsidR="00EE46A4" w:rsidRPr="00280FBE">
        <w:rPr>
          <w:rFonts w:ascii="Arial" w:hAnsi="Arial" w:hint="cs"/>
          <w:noProof w:val="0"/>
          <w:rtl/>
        </w:rPr>
        <w:t>). לאחר שהתקיים דיון קד"מ בתובענה זו, במהלכו לא עלה בידי בית המשפט לסייע לצדדים לסיים את המחלוקת בפשרה, עתר</w:t>
      </w:r>
      <w:r w:rsidRPr="00280FBE">
        <w:rPr>
          <w:rFonts w:ascii="Arial" w:hAnsi="Arial" w:hint="cs"/>
          <w:noProof w:val="0"/>
          <w:rtl/>
        </w:rPr>
        <w:t xml:space="preserve"> </w:t>
      </w:r>
      <w:r w:rsidR="00EE46A4" w:rsidRPr="00280FBE">
        <w:rPr>
          <w:rFonts w:ascii="Arial" w:hAnsi="Arial" w:hint="cs"/>
          <w:noProof w:val="0"/>
          <w:rtl/>
        </w:rPr>
        <w:t xml:space="preserve">המשיב </w:t>
      </w:r>
      <w:r w:rsidRPr="00280FBE">
        <w:rPr>
          <w:rFonts w:ascii="Arial" w:hAnsi="Arial" w:hint="cs"/>
          <w:noProof w:val="0"/>
          <w:rtl/>
        </w:rPr>
        <w:t xml:space="preserve">ביום </w:t>
      </w:r>
      <w:r w:rsidR="002532E3" w:rsidRPr="00280FBE">
        <w:rPr>
          <w:rFonts w:ascii="Arial" w:hAnsi="Arial" w:hint="cs"/>
          <w:noProof w:val="0"/>
          <w:rtl/>
        </w:rPr>
        <w:t>12.3.24</w:t>
      </w:r>
      <w:r w:rsidRPr="00280FBE">
        <w:rPr>
          <w:rFonts w:ascii="Arial" w:hAnsi="Arial" w:hint="cs"/>
          <w:noProof w:val="0"/>
          <w:rtl/>
        </w:rPr>
        <w:t xml:space="preserve"> בתובענה דכאן</w:t>
      </w:r>
      <w:r w:rsidR="0023762E" w:rsidRPr="00280FBE">
        <w:rPr>
          <w:rFonts w:ascii="Arial" w:hAnsi="Arial" w:hint="cs"/>
          <w:noProof w:val="0"/>
          <w:rtl/>
        </w:rPr>
        <w:t xml:space="preserve">, </w:t>
      </w:r>
      <w:r w:rsidR="00770F59" w:rsidRPr="00280FBE">
        <w:rPr>
          <w:rFonts w:ascii="Arial" w:hAnsi="Arial" w:hint="cs"/>
          <w:noProof w:val="0"/>
          <w:rtl/>
        </w:rPr>
        <w:t xml:space="preserve">במסגרתה ביקש לחייב את המבקשת בתשלום הפיצוי המוסכם בהסכם משפעלה בחוסר תום לב בהליכי הגישור שקיימו (סעיף 45); ולפצותו בגין הנזק שנגרם לו בגין אי מכירת הבית במועד ואובדן הזכות להתקבל כחבר בקיבוץ סמוך אחר (סעיפים 46-58); בגין שכר הטרחה ששולם על ידיו לצורך השבת הנשק בעקבות </w:t>
      </w:r>
      <w:r w:rsidR="00B91D00" w:rsidRPr="00280FBE">
        <w:rPr>
          <w:rFonts w:ascii="Arial" w:hAnsi="Arial" w:hint="cs"/>
          <w:noProof w:val="0"/>
          <w:rtl/>
        </w:rPr>
        <w:t>ה</w:t>
      </w:r>
      <w:r w:rsidR="00770F59" w:rsidRPr="00280FBE">
        <w:rPr>
          <w:rFonts w:ascii="Arial" w:hAnsi="Arial" w:hint="cs"/>
          <w:noProof w:val="0"/>
          <w:rtl/>
        </w:rPr>
        <w:t xml:space="preserve">תלונה שהגישה כנגדו המבקשת, </w:t>
      </w:r>
      <w:r w:rsidR="0030758F" w:rsidRPr="00280FBE">
        <w:rPr>
          <w:rFonts w:ascii="Arial" w:hAnsi="Arial" w:hint="cs"/>
          <w:noProof w:val="0"/>
          <w:rtl/>
        </w:rPr>
        <w:t>ולצורך ניהול</w:t>
      </w:r>
      <w:r w:rsidR="00770F59" w:rsidRPr="00280FBE">
        <w:rPr>
          <w:rFonts w:ascii="Arial" w:hAnsi="Arial" w:hint="cs"/>
          <w:noProof w:val="0"/>
          <w:rtl/>
        </w:rPr>
        <w:t xml:space="preserve"> ההליכים הקודמים </w:t>
      </w:r>
      <w:r w:rsidR="0030758F" w:rsidRPr="00280FBE">
        <w:rPr>
          <w:rFonts w:ascii="Arial" w:hAnsi="Arial" w:hint="cs"/>
          <w:noProof w:val="0"/>
          <w:rtl/>
        </w:rPr>
        <w:t>והליכים נוספים לאחר פסק הדין</w:t>
      </w:r>
      <w:r w:rsidR="00770F59" w:rsidRPr="00280FBE">
        <w:rPr>
          <w:rFonts w:ascii="Arial" w:hAnsi="Arial" w:hint="cs"/>
          <w:noProof w:val="0"/>
          <w:rtl/>
        </w:rPr>
        <w:t xml:space="preserve"> (סעיפים 59-60); בגין שכר טרחת המגשרים (סעיף 61); בגין שכר השמאי</w:t>
      </w:r>
      <w:r w:rsidR="00280FBE" w:rsidRPr="00280FBE">
        <w:rPr>
          <w:rFonts w:ascii="Arial" w:hAnsi="Arial" w:hint="cs"/>
          <w:noProof w:val="0"/>
          <w:rtl/>
        </w:rPr>
        <w:t xml:space="preserve"> בהליך הגישור</w:t>
      </w:r>
      <w:r w:rsidR="00770F59" w:rsidRPr="00280FBE">
        <w:rPr>
          <w:rFonts w:ascii="Arial" w:hAnsi="Arial" w:hint="cs"/>
          <w:noProof w:val="0"/>
          <w:rtl/>
        </w:rPr>
        <w:t xml:space="preserve"> (סעיף 62); בגין ריביות ההלוואה שניטלה על ידיהם לצורך בניית הבית ושנדרש לשלם בעקבות אי מכירתו מאז הפרת ההסכם החל מחודש 11/20 (סעיף 63); בגין שכר כונס הנכסים (65) ובגין כאב וסבל (סעיף 66). </w:t>
      </w:r>
      <w:r w:rsidRPr="00280FBE">
        <w:rPr>
          <w:rFonts w:ascii="Arial" w:hAnsi="Arial" w:hint="cs"/>
          <w:noProof w:val="0"/>
          <w:rtl/>
        </w:rPr>
        <w:t xml:space="preserve"> </w:t>
      </w:r>
    </w:p>
    <w:p w:rsidR="000A6043" w:rsidRDefault="00856DB7" w:rsidP="0030758F">
      <w:pPr>
        <w:pStyle w:val="ae"/>
        <w:spacing w:line="360" w:lineRule="auto"/>
        <w:jc w:val="both"/>
        <w:rPr>
          <w:rFonts w:ascii="Arial" w:hAnsi="Arial"/>
          <w:noProof w:val="0"/>
          <w:rtl/>
        </w:rPr>
      </w:pPr>
      <w:r>
        <w:rPr>
          <w:rFonts w:ascii="Arial" w:hAnsi="Arial" w:hint="cs"/>
          <w:noProof w:val="0"/>
          <w:rtl/>
        </w:rPr>
        <w:t>המבקשת מצדה הגישה תביע</w:t>
      </w:r>
      <w:r w:rsidR="00902774">
        <w:rPr>
          <w:rFonts w:ascii="Arial" w:hAnsi="Arial" w:hint="cs"/>
          <w:noProof w:val="0"/>
          <w:rtl/>
        </w:rPr>
        <w:t>ה כספית שכנגד (תלה"מ 28556-04-24) במסגרתה עתרה לחייב את המשיב בסך של 20,000 ₪ בגין הפיצוי המוסכם ו</w:t>
      </w:r>
      <w:r w:rsidR="009D4400">
        <w:rPr>
          <w:rFonts w:ascii="Arial" w:hAnsi="Arial" w:hint="cs"/>
          <w:noProof w:val="0"/>
          <w:rtl/>
        </w:rPr>
        <w:t xml:space="preserve">בגין </w:t>
      </w:r>
      <w:r w:rsidR="00902774">
        <w:rPr>
          <w:rFonts w:ascii="Arial" w:hAnsi="Arial" w:hint="cs"/>
          <w:noProof w:val="0"/>
          <w:rtl/>
        </w:rPr>
        <w:t>עלות כונס הנכסים</w:t>
      </w:r>
      <w:r w:rsidR="000875D1">
        <w:rPr>
          <w:rFonts w:ascii="Arial" w:hAnsi="Arial" w:hint="cs"/>
          <w:noProof w:val="0"/>
          <w:rtl/>
        </w:rPr>
        <w:t>.</w:t>
      </w:r>
    </w:p>
    <w:p w:rsidR="00280FBE" w:rsidRDefault="00280FBE" w:rsidP="0030758F">
      <w:pPr>
        <w:pStyle w:val="ae"/>
        <w:spacing w:line="360" w:lineRule="auto"/>
        <w:jc w:val="both"/>
        <w:rPr>
          <w:rFonts w:ascii="Arial" w:hAnsi="Arial"/>
          <w:noProof w:val="0"/>
        </w:rPr>
      </w:pPr>
    </w:p>
    <w:p w:rsidR="00B306FF" w:rsidRDefault="00B306FF" w:rsidP="000D5D87">
      <w:pPr>
        <w:pStyle w:val="ae"/>
        <w:numPr>
          <w:ilvl w:val="0"/>
          <w:numId w:val="1"/>
        </w:numPr>
        <w:spacing w:line="360" w:lineRule="auto"/>
        <w:jc w:val="both"/>
        <w:rPr>
          <w:rFonts w:ascii="Arial" w:hAnsi="Arial"/>
          <w:noProof w:val="0"/>
        </w:rPr>
      </w:pPr>
      <w:r>
        <w:rPr>
          <w:rFonts w:ascii="Arial" w:hAnsi="Arial" w:hint="cs"/>
          <w:noProof w:val="0"/>
          <w:rtl/>
        </w:rPr>
        <w:t xml:space="preserve">המבקשת </w:t>
      </w:r>
      <w:r w:rsidR="00FF7984">
        <w:rPr>
          <w:rFonts w:ascii="Arial" w:hAnsi="Arial" w:hint="cs"/>
          <w:noProof w:val="0"/>
          <w:rtl/>
        </w:rPr>
        <w:t xml:space="preserve">טוענת לדחיית התביעה על הסף </w:t>
      </w:r>
      <w:r w:rsidR="00FF7984" w:rsidRPr="00FF7984">
        <w:rPr>
          <w:rFonts w:ascii="Arial" w:hAnsi="Arial" w:hint="cs"/>
          <w:noProof w:val="0"/>
          <w:rtl/>
        </w:rPr>
        <w:t>בשל מעשה בית דין והעדר עילה</w:t>
      </w:r>
      <w:r w:rsidR="00FF7984">
        <w:rPr>
          <w:rFonts w:ascii="Arial" w:hAnsi="Arial" w:hint="cs"/>
          <w:noProof w:val="0"/>
          <w:rtl/>
        </w:rPr>
        <w:t xml:space="preserve">. </w:t>
      </w:r>
      <w:r w:rsidR="00E0025E">
        <w:rPr>
          <w:rFonts w:ascii="Arial" w:hAnsi="Arial" w:hint="cs"/>
          <w:noProof w:val="0"/>
          <w:rtl/>
        </w:rPr>
        <w:t>לטענתה פסק הדין בהליך הקודם יוצר השתק עילה והשתק פלוגתא ביחס לטענות המשיב לנזקים שנגרמו לו בעקבות הפרת ההסכם</w:t>
      </w:r>
      <w:r w:rsidR="001B2A3D">
        <w:rPr>
          <w:rFonts w:ascii="Arial" w:hAnsi="Arial" w:hint="cs"/>
          <w:noProof w:val="0"/>
          <w:rtl/>
        </w:rPr>
        <w:t xml:space="preserve"> על ידיה</w:t>
      </w:r>
      <w:r w:rsidR="00E0025E">
        <w:rPr>
          <w:rFonts w:ascii="Arial" w:hAnsi="Arial" w:hint="cs"/>
          <w:noProof w:val="0"/>
          <w:rtl/>
        </w:rPr>
        <w:t xml:space="preserve"> ובגין התלונה </w:t>
      </w:r>
      <w:r w:rsidR="001B2A3D">
        <w:rPr>
          <w:rFonts w:ascii="Arial" w:hAnsi="Arial" w:hint="cs"/>
          <w:noProof w:val="0"/>
          <w:rtl/>
        </w:rPr>
        <w:t>שהגישה כנגדו</w:t>
      </w:r>
      <w:r w:rsidR="00E0025E">
        <w:rPr>
          <w:rFonts w:ascii="Arial" w:hAnsi="Arial" w:hint="cs"/>
          <w:noProof w:val="0"/>
          <w:rtl/>
        </w:rPr>
        <w:t xml:space="preserve">. </w:t>
      </w:r>
      <w:r w:rsidR="007E735E">
        <w:rPr>
          <w:rFonts w:ascii="Arial" w:hAnsi="Arial" w:hint="cs"/>
          <w:noProof w:val="0"/>
          <w:rtl/>
        </w:rPr>
        <w:t xml:space="preserve">המשיב לא קיבל היתר </w:t>
      </w:r>
      <w:r w:rsidR="00E0025E">
        <w:rPr>
          <w:rFonts w:ascii="Arial" w:hAnsi="Arial" w:hint="cs"/>
          <w:noProof w:val="0"/>
          <w:rtl/>
        </w:rPr>
        <w:t>לפיצול</w:t>
      </w:r>
      <w:r w:rsidR="007E735E">
        <w:rPr>
          <w:rFonts w:ascii="Arial" w:hAnsi="Arial" w:hint="cs"/>
          <w:noProof w:val="0"/>
          <w:rtl/>
        </w:rPr>
        <w:t xml:space="preserve"> סעדים ותביעתו לפיצויים בשל הנזקים שכביכול נגרמו לו </w:t>
      </w:r>
      <w:r w:rsidR="00755B71">
        <w:rPr>
          <w:rFonts w:ascii="Arial" w:hAnsi="Arial" w:hint="cs"/>
          <w:noProof w:val="0"/>
          <w:rtl/>
        </w:rPr>
        <w:t>"</w:t>
      </w:r>
      <w:r w:rsidR="007E735E">
        <w:rPr>
          <w:rFonts w:ascii="Arial" w:hAnsi="Arial" w:hint="cs"/>
          <w:noProof w:val="0"/>
          <w:rtl/>
        </w:rPr>
        <w:t>נבלעה, בפסק הדין</w:t>
      </w:r>
      <w:r w:rsidR="00755B71">
        <w:rPr>
          <w:rFonts w:ascii="Arial" w:hAnsi="Arial" w:hint="cs"/>
          <w:noProof w:val="0"/>
          <w:rtl/>
        </w:rPr>
        <w:t>"</w:t>
      </w:r>
      <w:r w:rsidR="007E735E">
        <w:rPr>
          <w:rFonts w:ascii="Arial" w:hAnsi="Arial" w:hint="cs"/>
          <w:noProof w:val="0"/>
          <w:rtl/>
        </w:rPr>
        <w:t xml:space="preserve"> וה</w:t>
      </w:r>
      <w:r w:rsidR="00E0025E">
        <w:rPr>
          <w:rFonts w:ascii="Arial" w:hAnsi="Arial" w:hint="cs"/>
          <w:noProof w:val="0"/>
          <w:rtl/>
        </w:rPr>
        <w:t>וא</w:t>
      </w:r>
      <w:r w:rsidR="007E735E">
        <w:rPr>
          <w:rFonts w:ascii="Arial" w:hAnsi="Arial" w:hint="cs"/>
          <w:noProof w:val="0"/>
          <w:rtl/>
        </w:rPr>
        <w:t xml:space="preserve"> מנוע מלתבוע שנית בגין כך. כן </w:t>
      </w:r>
      <w:r w:rsidR="00BC07F2">
        <w:rPr>
          <w:rFonts w:ascii="Arial" w:hAnsi="Arial" w:hint="cs"/>
          <w:noProof w:val="0"/>
          <w:rtl/>
        </w:rPr>
        <w:t>נטען על ידיה ש</w:t>
      </w:r>
      <w:r>
        <w:rPr>
          <w:rFonts w:ascii="Arial" w:hAnsi="Arial" w:hint="cs"/>
          <w:noProof w:val="0"/>
          <w:rtl/>
        </w:rPr>
        <w:t xml:space="preserve">אמנם המשיב הוסיף </w:t>
      </w:r>
      <w:r w:rsidR="00BC07F2">
        <w:rPr>
          <w:rFonts w:ascii="Arial" w:hAnsi="Arial" w:hint="cs"/>
          <w:noProof w:val="0"/>
          <w:rtl/>
        </w:rPr>
        <w:t xml:space="preserve">בתביעתו הנוכחית </w:t>
      </w:r>
      <w:r>
        <w:rPr>
          <w:rFonts w:ascii="Arial" w:hAnsi="Arial" w:hint="cs"/>
          <w:noProof w:val="0"/>
          <w:rtl/>
        </w:rPr>
        <w:t xml:space="preserve">טענות לנזקים שלא הופיעו בתביעתו הקודמת שהסתיימה בפסק דין </w:t>
      </w:r>
      <w:r w:rsidR="009D4400">
        <w:rPr>
          <w:rFonts w:ascii="Arial" w:hAnsi="Arial" w:hint="cs"/>
          <w:noProof w:val="0"/>
          <w:rtl/>
        </w:rPr>
        <w:t>ואולם</w:t>
      </w:r>
      <w:r>
        <w:rPr>
          <w:rFonts w:ascii="Arial" w:hAnsi="Arial" w:hint="cs"/>
          <w:noProof w:val="0"/>
          <w:rtl/>
        </w:rPr>
        <w:t xml:space="preserve"> כלל הנזקים נובעים מאותה העילה </w:t>
      </w:r>
      <w:r>
        <w:rPr>
          <w:rFonts w:ascii="Arial" w:hAnsi="Arial"/>
          <w:noProof w:val="0"/>
          <w:rtl/>
        </w:rPr>
        <w:t>–</w:t>
      </w:r>
      <w:r>
        <w:rPr>
          <w:rFonts w:ascii="Arial" w:hAnsi="Arial" w:hint="cs"/>
          <w:noProof w:val="0"/>
          <w:rtl/>
        </w:rPr>
        <w:t xml:space="preserve"> הפרת הסכם הגירושין </w:t>
      </w:r>
      <w:r>
        <w:rPr>
          <w:rFonts w:ascii="Arial" w:hAnsi="Arial"/>
          <w:noProof w:val="0"/>
          <w:rtl/>
        </w:rPr>
        <w:t>–</w:t>
      </w:r>
      <w:r>
        <w:rPr>
          <w:rFonts w:ascii="Arial" w:hAnsi="Arial" w:hint="cs"/>
          <w:noProof w:val="0"/>
          <w:rtl/>
        </w:rPr>
        <w:t xml:space="preserve"> ו</w:t>
      </w:r>
      <w:r w:rsidR="00BC07F2">
        <w:rPr>
          <w:rFonts w:ascii="Arial" w:hAnsi="Arial" w:hint="cs"/>
          <w:noProof w:val="0"/>
          <w:rtl/>
        </w:rPr>
        <w:t xml:space="preserve">בהתאם להלכה הפסוקה </w:t>
      </w:r>
      <w:r>
        <w:rPr>
          <w:rFonts w:ascii="Arial" w:hAnsi="Arial" w:hint="cs"/>
          <w:noProof w:val="0"/>
          <w:rtl/>
        </w:rPr>
        <w:t>העיקרון של מעשה בית דין חל אף אם שתי התביעות מבוססות על עילה שהיא רק זהה ביסודה.</w:t>
      </w:r>
      <w:r w:rsidR="007350A6">
        <w:rPr>
          <w:rFonts w:ascii="Arial" w:hAnsi="Arial" w:hint="cs"/>
          <w:noProof w:val="0"/>
          <w:rtl/>
        </w:rPr>
        <w:t xml:space="preserve"> </w:t>
      </w:r>
      <w:r w:rsidR="009D4400">
        <w:rPr>
          <w:rFonts w:ascii="Arial" w:hAnsi="Arial" w:hint="cs"/>
          <w:noProof w:val="0"/>
          <w:rtl/>
        </w:rPr>
        <w:t>עוד נטען על ידיה</w:t>
      </w:r>
      <w:r w:rsidR="007350A6">
        <w:rPr>
          <w:rFonts w:ascii="Arial" w:hAnsi="Arial" w:hint="cs"/>
          <w:noProof w:val="0"/>
          <w:rtl/>
        </w:rPr>
        <w:t xml:space="preserve"> ש</w:t>
      </w:r>
      <w:r w:rsidR="00FC3C03">
        <w:rPr>
          <w:rFonts w:ascii="Arial" w:hAnsi="Arial" w:hint="cs"/>
          <w:noProof w:val="0"/>
          <w:rtl/>
        </w:rPr>
        <w:t>גם אם לא היה קיים מחסום מעשה בית דין, יש לדחות את התביעה בהעדר עילה משום ש</w:t>
      </w:r>
      <w:r w:rsidR="007350A6">
        <w:rPr>
          <w:rFonts w:ascii="Arial" w:hAnsi="Arial" w:hint="cs"/>
          <w:noProof w:val="0"/>
          <w:rtl/>
        </w:rPr>
        <w:t>המשיב לא הראה עילה בגין מרבית הסעדים שנתבעו על ידיו, וכל טענותיו מתמצות להתנהגות המבקשת עובר למתן פסק הדין.</w:t>
      </w:r>
    </w:p>
    <w:p w:rsidR="00FF7984" w:rsidRPr="00FF7984" w:rsidRDefault="00FF7984" w:rsidP="000D5D87">
      <w:pPr>
        <w:pStyle w:val="ae"/>
        <w:spacing w:line="360" w:lineRule="auto"/>
        <w:rPr>
          <w:rFonts w:ascii="Arial" w:hAnsi="Arial"/>
          <w:noProof w:val="0"/>
          <w:rtl/>
        </w:rPr>
      </w:pPr>
    </w:p>
    <w:p w:rsidR="008B75F5" w:rsidRDefault="00720603" w:rsidP="000D5D87">
      <w:pPr>
        <w:pStyle w:val="ae"/>
        <w:numPr>
          <w:ilvl w:val="0"/>
          <w:numId w:val="1"/>
        </w:numPr>
        <w:spacing w:line="360" w:lineRule="auto"/>
        <w:jc w:val="both"/>
        <w:rPr>
          <w:rFonts w:ascii="Arial" w:hAnsi="Arial"/>
          <w:noProof w:val="0"/>
        </w:rPr>
      </w:pPr>
      <w:r w:rsidRPr="003252F8">
        <w:rPr>
          <w:rFonts w:ascii="Arial" w:hAnsi="Arial" w:hint="cs"/>
          <w:noProof w:val="0"/>
          <w:rtl/>
        </w:rPr>
        <w:t xml:space="preserve">בתגובתו טען </w:t>
      </w:r>
      <w:r w:rsidR="00BC07F2" w:rsidRPr="003252F8">
        <w:rPr>
          <w:rFonts w:ascii="Arial" w:hAnsi="Arial" w:hint="cs"/>
          <w:noProof w:val="0"/>
          <w:rtl/>
        </w:rPr>
        <w:t>המשיב לדחיית הבקשה ושלל קיומו של מעשה בית דין או השתק פלוגתא. לדבריו, בין היתר, המדובר בהפרה מתמשכת של ההסכם אשר מקימה זכות תביעה מתחדשת, כל עוד נמשכת ההפרה, ו</w:t>
      </w:r>
      <w:r w:rsidR="005B6413">
        <w:rPr>
          <w:rFonts w:ascii="Arial" w:hAnsi="Arial" w:hint="cs"/>
          <w:noProof w:val="0"/>
          <w:rtl/>
        </w:rPr>
        <w:t>ש</w:t>
      </w:r>
      <w:r w:rsidR="00BC07F2" w:rsidRPr="003252F8">
        <w:rPr>
          <w:rFonts w:ascii="Arial" w:hAnsi="Arial" w:hint="cs"/>
          <w:noProof w:val="0"/>
          <w:rtl/>
        </w:rPr>
        <w:t>בהתאם להלכה הפסוקה אין מניעה לתבוע פיצויים אף עבור התקופה שת</w:t>
      </w:r>
      <w:r w:rsidR="00FC3C03" w:rsidRPr="003252F8">
        <w:rPr>
          <w:rFonts w:ascii="Arial" w:hAnsi="Arial" w:hint="cs"/>
          <w:noProof w:val="0"/>
          <w:rtl/>
        </w:rPr>
        <w:t xml:space="preserve">חילתה במועד הגשת התביעה הראשונה. </w:t>
      </w:r>
    </w:p>
    <w:p w:rsidR="00163102" w:rsidRDefault="00FE79C2" w:rsidP="000D5D87">
      <w:pPr>
        <w:pStyle w:val="ae"/>
        <w:spacing w:line="360" w:lineRule="auto"/>
        <w:jc w:val="both"/>
        <w:rPr>
          <w:rFonts w:ascii="Arial" w:hAnsi="Arial"/>
          <w:noProof w:val="0"/>
        </w:rPr>
      </w:pPr>
      <w:r w:rsidRPr="003252F8">
        <w:rPr>
          <w:rFonts w:ascii="Arial" w:hAnsi="Arial" w:hint="cs"/>
          <w:noProof w:val="0"/>
          <w:rtl/>
        </w:rPr>
        <w:t>עוד הדגיש המשיב ש</w:t>
      </w:r>
      <w:r w:rsidR="00FC7F57">
        <w:rPr>
          <w:rFonts w:ascii="Arial" w:hAnsi="Arial" w:hint="cs"/>
          <w:noProof w:val="0"/>
          <w:rtl/>
        </w:rPr>
        <w:t xml:space="preserve">הן </w:t>
      </w:r>
      <w:r w:rsidRPr="003252F8">
        <w:rPr>
          <w:rFonts w:ascii="Arial" w:hAnsi="Arial" w:hint="cs"/>
          <w:noProof w:val="0"/>
          <w:rtl/>
        </w:rPr>
        <w:t>מהבקשה ו</w:t>
      </w:r>
      <w:r w:rsidR="00FC7F57">
        <w:rPr>
          <w:rFonts w:ascii="Arial" w:hAnsi="Arial" w:hint="cs"/>
          <w:noProof w:val="0"/>
          <w:rtl/>
        </w:rPr>
        <w:t xml:space="preserve">הן </w:t>
      </w:r>
      <w:r w:rsidRPr="003252F8">
        <w:rPr>
          <w:rFonts w:ascii="Arial" w:hAnsi="Arial" w:hint="cs"/>
          <w:noProof w:val="0"/>
          <w:rtl/>
        </w:rPr>
        <w:t xml:space="preserve">מכתב ההגנה שהגישה המבקשת עולה </w:t>
      </w:r>
      <w:r w:rsidR="00FC7F57">
        <w:rPr>
          <w:rFonts w:ascii="Arial" w:hAnsi="Arial" w:hint="cs"/>
          <w:noProof w:val="0"/>
          <w:rtl/>
        </w:rPr>
        <w:t>ש</w:t>
      </w:r>
      <w:r w:rsidRPr="003252F8">
        <w:rPr>
          <w:rFonts w:ascii="Arial" w:hAnsi="Arial" w:hint="cs"/>
          <w:noProof w:val="0"/>
          <w:rtl/>
        </w:rPr>
        <w:t>בין הצדדים מחלוק</w:t>
      </w:r>
      <w:r w:rsidR="005B6413">
        <w:rPr>
          <w:rFonts w:ascii="Arial" w:hAnsi="Arial" w:hint="cs"/>
          <w:noProof w:val="0"/>
          <w:rtl/>
        </w:rPr>
        <w:t>ו</w:t>
      </w:r>
      <w:r w:rsidRPr="003252F8">
        <w:rPr>
          <w:rFonts w:ascii="Arial" w:hAnsi="Arial" w:hint="cs"/>
          <w:noProof w:val="0"/>
          <w:rtl/>
        </w:rPr>
        <w:t>ת עובדתי</w:t>
      </w:r>
      <w:r w:rsidR="005B6413">
        <w:rPr>
          <w:rFonts w:ascii="Arial" w:hAnsi="Arial" w:hint="cs"/>
          <w:noProof w:val="0"/>
          <w:rtl/>
        </w:rPr>
        <w:t>ו</w:t>
      </w:r>
      <w:r w:rsidRPr="003252F8">
        <w:rPr>
          <w:rFonts w:ascii="Arial" w:hAnsi="Arial" w:hint="cs"/>
          <w:noProof w:val="0"/>
          <w:rtl/>
        </w:rPr>
        <w:t>ת</w:t>
      </w:r>
      <w:r w:rsidR="003252F8">
        <w:rPr>
          <w:rFonts w:ascii="Arial" w:hAnsi="Arial" w:hint="cs"/>
          <w:noProof w:val="0"/>
          <w:rtl/>
        </w:rPr>
        <w:t xml:space="preserve"> </w:t>
      </w:r>
      <w:r w:rsidRPr="003252F8">
        <w:rPr>
          <w:rFonts w:ascii="Arial" w:hAnsi="Arial" w:hint="cs"/>
          <w:noProof w:val="0"/>
          <w:rtl/>
        </w:rPr>
        <w:t xml:space="preserve">ביחס למועד היווצרות הנזקים הנתבעים על ידיו </w:t>
      </w:r>
      <w:r w:rsidR="003252F8">
        <w:rPr>
          <w:rFonts w:ascii="Arial" w:hAnsi="Arial" w:hint="cs"/>
          <w:noProof w:val="0"/>
          <w:rtl/>
        </w:rPr>
        <w:t xml:space="preserve">וביחס לעילת התביעה </w:t>
      </w:r>
      <w:r w:rsidRPr="003252F8">
        <w:rPr>
          <w:rFonts w:ascii="Arial" w:hAnsi="Arial" w:hint="cs"/>
          <w:noProof w:val="0"/>
          <w:rtl/>
        </w:rPr>
        <w:t>אשר מקומ</w:t>
      </w:r>
      <w:r w:rsidR="005B6413">
        <w:rPr>
          <w:rFonts w:ascii="Arial" w:hAnsi="Arial" w:hint="cs"/>
          <w:noProof w:val="0"/>
          <w:rtl/>
        </w:rPr>
        <w:t>ן</w:t>
      </w:r>
      <w:r w:rsidRPr="003252F8">
        <w:rPr>
          <w:rFonts w:ascii="Arial" w:hAnsi="Arial" w:hint="cs"/>
          <w:noProof w:val="0"/>
          <w:rtl/>
        </w:rPr>
        <w:t xml:space="preserve"> להתברר במסגרת ההליך העיקרי ולא במסגרת בקשה לסילוק התובענה על הסף.</w:t>
      </w:r>
      <w:r w:rsidR="00FC3C03" w:rsidRPr="003252F8">
        <w:rPr>
          <w:rFonts w:ascii="Arial" w:hAnsi="Arial" w:hint="cs"/>
          <w:noProof w:val="0"/>
          <w:rtl/>
        </w:rPr>
        <w:t xml:space="preserve"> </w:t>
      </w:r>
    </w:p>
    <w:p w:rsidR="00FC7F57" w:rsidRPr="00FC7F57" w:rsidRDefault="00902774" w:rsidP="000D5D87">
      <w:pPr>
        <w:pStyle w:val="ae"/>
        <w:numPr>
          <w:ilvl w:val="0"/>
          <w:numId w:val="1"/>
        </w:numPr>
        <w:spacing w:line="360" w:lineRule="auto"/>
        <w:jc w:val="both"/>
        <w:rPr>
          <w:rFonts w:ascii="Arial" w:hAnsi="Arial"/>
          <w:noProof w:val="0"/>
        </w:rPr>
      </w:pPr>
      <w:r>
        <w:rPr>
          <w:rFonts w:hint="cs"/>
          <w:rtl/>
        </w:rPr>
        <w:lastRenderedPageBreak/>
        <w:t xml:space="preserve">כידוע, </w:t>
      </w:r>
      <w:r w:rsidR="00FE79C2" w:rsidRPr="00FF7984">
        <w:rPr>
          <w:rtl/>
        </w:rPr>
        <w:t xml:space="preserve">סעד של סילוק על הסף הוא סעד דראסטי שעל בית המשפט לנהוג בזהירות בטרם עשיית שימוש בו, ובמידת האפשר להעדיף בירור ענייני של תובענה על פני חסימת תובע מהבאת ראיותיו.  </w:t>
      </w:r>
      <w:r w:rsidR="00FC5566">
        <w:rPr>
          <w:rFonts w:hint="cs"/>
          <w:rtl/>
        </w:rPr>
        <w:t xml:space="preserve">הדברים אמורים </w:t>
      </w:r>
      <w:r w:rsidR="00FE79C2" w:rsidRPr="00FF7984">
        <w:rPr>
          <w:rtl/>
        </w:rPr>
        <w:t>ביתר שאת כאשר מדובר בדחיית תביעה על הסף המהווה אמצעי קיצוני וחמור עוד יותר</w:t>
      </w:r>
      <w:r w:rsidR="00DC7166" w:rsidRPr="00FF7984">
        <w:rPr>
          <w:rtl/>
        </w:rPr>
        <w:t xml:space="preserve"> החורצת את גורל התביעה אחת ולתמיד</w:t>
      </w:r>
      <w:r w:rsidR="00FE79C2" w:rsidRPr="00FF7984">
        <w:rPr>
          <w:rtl/>
        </w:rPr>
        <w:t xml:space="preserve"> [</w:t>
      </w:r>
      <w:hyperlink r:id="rId10" w:history="1">
        <w:r w:rsidR="00DC7166" w:rsidRPr="002B7B19">
          <w:rPr>
            <w:rStyle w:val="Hyperlink"/>
            <w:rFonts w:ascii="David" w:hAnsi="David"/>
            <w:color w:val="auto"/>
            <w:u w:val="none"/>
            <w:rtl/>
          </w:rPr>
          <w:t>עע"מ 5116/04</w:t>
        </w:r>
      </w:hyperlink>
      <w:r w:rsidR="00DC7166" w:rsidRPr="00FF7984">
        <w:rPr>
          <w:rtl/>
        </w:rPr>
        <w:t xml:space="preserve"> </w:t>
      </w:r>
      <w:r w:rsidR="00DC7166" w:rsidRPr="002B7B19">
        <w:rPr>
          <w:b/>
          <w:bCs/>
          <w:rtl/>
        </w:rPr>
        <w:t>נידר כוכב הצפון - חברה לבנין ופיתוח בע"מ נ' עיריית תל אביב יפו</w:t>
      </w:r>
      <w:r w:rsidR="00DC7166" w:rsidRPr="00FF7984">
        <w:rPr>
          <w:rtl/>
        </w:rPr>
        <w:t>, (פורסם בנבו</w:t>
      </w:r>
      <w:r w:rsidR="00FC5566">
        <w:rPr>
          <w:rFonts w:hint="cs"/>
          <w:rtl/>
        </w:rPr>
        <w:t>, 20.9.04</w:t>
      </w:r>
      <w:r w:rsidR="00DC7166" w:rsidRPr="00FF7984">
        <w:rPr>
          <w:rtl/>
        </w:rPr>
        <w:t xml:space="preserve">); </w:t>
      </w:r>
      <w:hyperlink r:id="rId11" w:history="1">
        <w:r w:rsidR="00DC7166" w:rsidRPr="002B7B19">
          <w:rPr>
            <w:rStyle w:val="Hyperlink"/>
            <w:rFonts w:ascii="David" w:hAnsi="David"/>
            <w:color w:val="auto"/>
            <w:u w:val="none"/>
            <w:rtl/>
          </w:rPr>
          <w:t>רע"א 359/06</w:t>
        </w:r>
      </w:hyperlink>
      <w:r w:rsidR="00DC7166" w:rsidRPr="00FF7984">
        <w:rPr>
          <w:rtl/>
        </w:rPr>
        <w:t xml:space="preserve"> </w:t>
      </w:r>
      <w:r w:rsidR="00DC7166" w:rsidRPr="002B7B19">
        <w:rPr>
          <w:b/>
          <w:bCs/>
          <w:rtl/>
        </w:rPr>
        <w:t xml:space="preserve">עו"ד ד' חורי מועין נ' עו"ד סלמאן פרג' </w:t>
      </w:r>
      <w:r w:rsidR="00DC7166" w:rsidRPr="00FF7984">
        <w:rPr>
          <w:rtl/>
        </w:rPr>
        <w:t>(פורסם בנבו</w:t>
      </w:r>
      <w:r w:rsidR="00FC5566">
        <w:rPr>
          <w:rFonts w:hint="cs"/>
          <w:rtl/>
        </w:rPr>
        <w:t>, 26.4.06</w:t>
      </w:r>
      <w:r w:rsidR="00DC7166" w:rsidRPr="00FF7984">
        <w:rPr>
          <w:rtl/>
        </w:rPr>
        <w:t xml:space="preserve">); </w:t>
      </w:r>
      <w:hyperlink r:id="rId12" w:history="1">
        <w:r w:rsidR="00DC7166" w:rsidRPr="002B7B19">
          <w:rPr>
            <w:rStyle w:val="Hyperlink"/>
            <w:rFonts w:ascii="David" w:hAnsi="David"/>
            <w:color w:val="auto"/>
            <w:u w:val="none"/>
            <w:rtl/>
          </w:rPr>
          <w:t>רע"א 751/05</w:t>
        </w:r>
      </w:hyperlink>
      <w:r w:rsidR="00DC7166" w:rsidRPr="00FF7984">
        <w:rPr>
          <w:rtl/>
        </w:rPr>
        <w:t xml:space="preserve"> </w:t>
      </w:r>
      <w:r w:rsidR="00DC7166" w:rsidRPr="002B7B19">
        <w:rPr>
          <w:b/>
          <w:bCs/>
          <w:rtl/>
        </w:rPr>
        <w:t xml:space="preserve">החברה הלאומית לאספקת פחם </w:t>
      </w:r>
      <w:r w:rsidR="00DC7166" w:rsidRPr="002B7B19">
        <w:rPr>
          <w:rFonts w:ascii="David" w:hAnsi="David"/>
          <w:b/>
          <w:bCs/>
          <w:rtl/>
        </w:rPr>
        <w:t>בע"מ נ' "צים" חברת השיט הישראלית בע"מ</w:t>
      </w:r>
      <w:r w:rsidR="00DC7166" w:rsidRPr="002B7B19">
        <w:rPr>
          <w:rFonts w:ascii="David" w:hAnsi="David"/>
          <w:rtl/>
        </w:rPr>
        <w:t>, (פורסם בנבו</w:t>
      </w:r>
      <w:r w:rsidR="00FC5566">
        <w:rPr>
          <w:rFonts w:ascii="David" w:hAnsi="David" w:hint="cs"/>
          <w:rtl/>
        </w:rPr>
        <w:t xml:space="preserve"> 1.9.05</w:t>
      </w:r>
      <w:r w:rsidR="00DC7166" w:rsidRPr="002B7B19">
        <w:rPr>
          <w:rFonts w:ascii="David" w:hAnsi="David"/>
          <w:rtl/>
        </w:rPr>
        <w:t xml:space="preserve">); </w:t>
      </w:r>
      <w:hyperlink r:id="rId13" w:history="1">
        <w:r w:rsidR="00FE79C2" w:rsidRPr="002B7B19">
          <w:rPr>
            <w:rStyle w:val="Hyperlink"/>
            <w:rFonts w:ascii="David" w:hAnsi="David"/>
            <w:color w:val="auto"/>
            <w:u w:val="none"/>
            <w:rtl/>
          </w:rPr>
          <w:t>ע"א 335/78</w:t>
        </w:r>
      </w:hyperlink>
      <w:r w:rsidR="00FE79C2" w:rsidRPr="002B7B19">
        <w:rPr>
          <w:rFonts w:ascii="David" w:hAnsi="David"/>
          <w:rtl/>
        </w:rPr>
        <w:t xml:space="preserve"> </w:t>
      </w:r>
      <w:r w:rsidR="00FE79C2" w:rsidRPr="002B7B19">
        <w:rPr>
          <w:rFonts w:ascii="David" w:hAnsi="David"/>
          <w:b/>
          <w:bCs/>
          <w:rtl/>
        </w:rPr>
        <w:t>שאלתיאל נ' שני,</w:t>
      </w:r>
      <w:r w:rsidR="00FE79C2" w:rsidRPr="002B7B19">
        <w:rPr>
          <w:rFonts w:ascii="David" w:hAnsi="David"/>
          <w:rtl/>
        </w:rPr>
        <w:t xml:space="preserve"> פ"ד לו(2) 151 (1981)].</w:t>
      </w:r>
      <w:r w:rsidR="003252F8" w:rsidRPr="002B7B19">
        <w:rPr>
          <w:rFonts w:ascii="David" w:hAnsi="David"/>
          <w:rtl/>
        </w:rPr>
        <w:t xml:space="preserve"> </w:t>
      </w:r>
    </w:p>
    <w:p w:rsidR="00FE79C2" w:rsidRPr="002B7B19" w:rsidRDefault="003252F8" w:rsidP="000D5D87">
      <w:pPr>
        <w:pStyle w:val="ae"/>
        <w:spacing w:line="360" w:lineRule="auto"/>
        <w:jc w:val="both"/>
        <w:rPr>
          <w:rFonts w:ascii="Arial" w:hAnsi="Arial"/>
          <w:noProof w:val="0"/>
        </w:rPr>
      </w:pPr>
      <w:r w:rsidRPr="002B7B19">
        <w:rPr>
          <w:rFonts w:ascii="David" w:hAnsi="David"/>
          <w:rtl/>
        </w:rPr>
        <w:t xml:space="preserve">כך </w:t>
      </w:r>
      <w:r w:rsidR="00526064">
        <w:rPr>
          <w:rFonts w:ascii="David" w:hAnsi="David" w:hint="cs"/>
          <w:rtl/>
        </w:rPr>
        <w:t>מורה</w:t>
      </w:r>
      <w:r w:rsidRPr="002B7B19">
        <w:rPr>
          <w:rFonts w:ascii="David" w:hAnsi="David"/>
          <w:rtl/>
        </w:rPr>
        <w:t xml:space="preserve"> </w:t>
      </w:r>
      <w:r w:rsidR="00526064">
        <w:rPr>
          <w:rFonts w:ascii="David" w:hAnsi="David" w:hint="cs"/>
          <w:rtl/>
        </w:rPr>
        <w:t>ה</w:t>
      </w:r>
      <w:r w:rsidRPr="002B7B19">
        <w:rPr>
          <w:rFonts w:ascii="David" w:hAnsi="David"/>
          <w:rtl/>
        </w:rPr>
        <w:t>הלכה שאין לסלק על הסף תביעה מחמת היעדר עילה מקום בו קיימת אפשרות</w:t>
      </w:r>
      <w:r w:rsidR="00526064">
        <w:rPr>
          <w:rFonts w:ascii="David" w:hAnsi="David" w:hint="cs"/>
          <w:rtl/>
        </w:rPr>
        <w:t>,</w:t>
      </w:r>
      <w:r w:rsidRPr="002B7B19">
        <w:rPr>
          <w:rFonts w:ascii="David" w:hAnsi="David"/>
          <w:rtl/>
        </w:rPr>
        <w:t xml:space="preserve"> ולו קלושה</w:t>
      </w:r>
      <w:r w:rsidR="00526064">
        <w:rPr>
          <w:rFonts w:ascii="David" w:hAnsi="David" w:hint="cs"/>
          <w:rtl/>
        </w:rPr>
        <w:t>,</w:t>
      </w:r>
      <w:r w:rsidRPr="002B7B19">
        <w:rPr>
          <w:rFonts w:ascii="David" w:hAnsi="David"/>
          <w:rtl/>
        </w:rPr>
        <w:t xml:space="preserve"> </w:t>
      </w:r>
      <w:r w:rsidR="00526064">
        <w:rPr>
          <w:rFonts w:ascii="David" w:hAnsi="David" w:hint="cs"/>
          <w:rtl/>
        </w:rPr>
        <w:t>ש</w:t>
      </w:r>
      <w:r w:rsidRPr="002B7B19">
        <w:rPr>
          <w:rFonts w:ascii="David" w:hAnsi="David"/>
          <w:rtl/>
        </w:rPr>
        <w:t>התובע יצליח בתביעתו</w:t>
      </w:r>
      <w:r w:rsidRPr="002B7B19">
        <w:rPr>
          <w:rFonts w:ascii="David" w:hAnsi="David"/>
        </w:rPr>
        <w:t xml:space="preserve"> </w:t>
      </w:r>
      <w:hyperlink r:id="rId14" w:tgtFrame="blank" w:history="1">
        <w:r w:rsidRPr="002B7B19">
          <w:rPr>
            <w:rStyle w:val="Hyperlink"/>
            <w:rFonts w:ascii="David" w:hAnsi="David"/>
            <w:color w:val="auto"/>
            <w:u w:val="none"/>
            <w:rtl/>
          </w:rPr>
          <w:t xml:space="preserve">[ע"א 76/86 </w:t>
        </w:r>
        <w:r w:rsidRPr="002B7B19">
          <w:rPr>
            <w:rStyle w:val="Hyperlink"/>
            <w:rFonts w:ascii="David" w:hAnsi="David"/>
            <w:b/>
            <w:bCs/>
            <w:color w:val="auto"/>
            <w:u w:val="none"/>
            <w:rtl/>
          </w:rPr>
          <w:t>ד"ר פיינשטיין נ' ה.ש. מלונות בע"מ</w:t>
        </w:r>
        <w:r w:rsidRPr="002B7B19">
          <w:rPr>
            <w:rStyle w:val="Hyperlink"/>
            <w:rFonts w:ascii="David" w:hAnsi="David"/>
            <w:color w:val="auto"/>
            <w:u w:val="none"/>
            <w:rtl/>
          </w:rPr>
          <w:t>, פ"ד</w:t>
        </w:r>
        <w:r w:rsidR="002B7B19">
          <w:rPr>
            <w:rStyle w:val="Hyperlink"/>
            <w:rFonts w:ascii="David" w:hAnsi="David" w:hint="cs"/>
            <w:color w:val="auto"/>
            <w:u w:val="none"/>
            <w:rtl/>
          </w:rPr>
          <w:t xml:space="preserve"> מג (3) 124, 128; רע"א 1926/16 </w:t>
        </w:r>
        <w:r w:rsidR="002B7B19" w:rsidRPr="002B7B19">
          <w:rPr>
            <w:rStyle w:val="Hyperlink"/>
            <w:rFonts w:ascii="David" w:hAnsi="David" w:hint="cs"/>
            <w:b/>
            <w:bCs/>
            <w:color w:val="auto"/>
            <w:u w:val="none"/>
            <w:rtl/>
          </w:rPr>
          <w:t xml:space="preserve">צוריאל נ' מורד </w:t>
        </w:r>
        <w:r w:rsidR="002B7B19">
          <w:rPr>
            <w:rStyle w:val="Hyperlink"/>
            <w:rFonts w:ascii="David" w:hAnsi="David" w:hint="cs"/>
            <w:color w:val="auto"/>
            <w:u w:val="none"/>
            <w:rtl/>
          </w:rPr>
          <w:t>(פורסם בנבו, 29.3.16)].</w:t>
        </w:r>
      </w:hyperlink>
      <w:r w:rsidR="002B7B19">
        <w:rPr>
          <w:rFonts w:ascii="David" w:hAnsi="David" w:hint="cs"/>
          <w:rtl/>
        </w:rPr>
        <w:t xml:space="preserve"> </w:t>
      </w:r>
      <w:r w:rsidR="00902774" w:rsidRPr="002B7B19">
        <w:rPr>
          <w:rFonts w:ascii="David" w:hAnsi="David" w:hint="cs"/>
          <w:rtl/>
        </w:rPr>
        <w:t>עם זאת</w:t>
      </w:r>
      <w:r w:rsidR="001B2A3D">
        <w:rPr>
          <w:rFonts w:ascii="David" w:hAnsi="David" w:hint="cs"/>
          <w:rtl/>
        </w:rPr>
        <w:t>,</w:t>
      </w:r>
      <w:r w:rsidR="00902774" w:rsidRPr="002B7B19">
        <w:rPr>
          <w:rFonts w:ascii="David" w:hAnsi="David" w:hint="cs"/>
          <w:rtl/>
        </w:rPr>
        <w:t xml:space="preserve"> נקבע ש</w:t>
      </w:r>
      <w:r w:rsidR="00FE79C2" w:rsidRPr="002B7B19">
        <w:rPr>
          <w:rFonts w:ascii="David" w:hAnsi="David"/>
          <w:rtl/>
        </w:rPr>
        <w:t>כאשר מתקיים מעשה בית דין המקים מחסום דיוני בפני הגשת תביעה חדשה זה</w:t>
      </w:r>
      <w:r w:rsidR="00526064">
        <w:rPr>
          <w:rFonts w:ascii="David" w:hAnsi="David" w:hint="cs"/>
          <w:rtl/>
        </w:rPr>
        <w:t>ו</w:t>
      </w:r>
      <w:r w:rsidR="00FE79C2" w:rsidRPr="002B7B19">
        <w:rPr>
          <w:rFonts w:ascii="David" w:hAnsi="David"/>
          <w:rtl/>
        </w:rPr>
        <w:t xml:space="preserve"> אמצעי שראוי להפעיל כטענת סף [</w:t>
      </w:r>
      <w:hyperlink r:id="rId15" w:history="1">
        <w:r w:rsidR="00FE79C2" w:rsidRPr="002B7B19">
          <w:rPr>
            <w:rStyle w:val="Hyperlink"/>
            <w:rFonts w:ascii="David" w:hAnsi="David"/>
            <w:color w:val="auto"/>
            <w:u w:val="none"/>
            <w:rtl/>
          </w:rPr>
          <w:t>ע"א 4087/04</w:t>
        </w:r>
      </w:hyperlink>
      <w:r w:rsidR="00FE79C2" w:rsidRPr="002B7B19">
        <w:rPr>
          <w:rFonts w:ascii="David" w:hAnsi="David"/>
          <w:rtl/>
        </w:rPr>
        <w:t xml:space="preserve"> </w:t>
      </w:r>
      <w:r w:rsidR="00FE79C2" w:rsidRPr="002B7B19">
        <w:rPr>
          <w:rFonts w:ascii="David" w:hAnsi="David"/>
          <w:b/>
          <w:bCs/>
          <w:rtl/>
        </w:rPr>
        <w:t xml:space="preserve">גורה נ' בנק לאומי לישראל בע"מ </w:t>
      </w:r>
      <w:r w:rsidR="00FE79C2" w:rsidRPr="002B7B19">
        <w:rPr>
          <w:rFonts w:ascii="David" w:hAnsi="David"/>
          <w:rtl/>
        </w:rPr>
        <w:t>(פורסם בנבו, 8.9.05)</w:t>
      </w:r>
      <w:r w:rsidR="00526064">
        <w:rPr>
          <w:rFonts w:ascii="David" w:hAnsi="David" w:hint="cs"/>
          <w:rtl/>
        </w:rPr>
        <w:t>;</w:t>
      </w:r>
      <w:r w:rsidR="00FE79C2" w:rsidRPr="002B7B19">
        <w:rPr>
          <w:rFonts w:ascii="David" w:hAnsi="David"/>
          <w:rtl/>
        </w:rPr>
        <w:t xml:space="preserve"> </w:t>
      </w:r>
      <w:hyperlink r:id="rId16" w:history="1">
        <w:r w:rsidR="00FE79C2" w:rsidRPr="002B7B19">
          <w:rPr>
            <w:rStyle w:val="Hyperlink"/>
            <w:rFonts w:ascii="David" w:hAnsi="David"/>
            <w:color w:val="auto"/>
            <w:u w:val="none"/>
            <w:rtl/>
          </w:rPr>
          <w:t>ת"א (מחוזי-מרכז) 26710-08-13</w:t>
        </w:r>
      </w:hyperlink>
      <w:r w:rsidR="00FE79C2" w:rsidRPr="002B7B19">
        <w:rPr>
          <w:rFonts w:ascii="David" w:hAnsi="David"/>
          <w:rtl/>
        </w:rPr>
        <w:t xml:space="preserve"> </w:t>
      </w:r>
      <w:r w:rsidR="00FE79C2" w:rsidRPr="002B7B19">
        <w:rPr>
          <w:rFonts w:ascii="David" w:hAnsi="David"/>
          <w:b/>
          <w:bCs/>
          <w:rtl/>
        </w:rPr>
        <w:t>לוי נ' רו"ח ניצן ויסמן</w:t>
      </w:r>
      <w:r w:rsidR="00FE79C2" w:rsidRPr="002B7B19">
        <w:rPr>
          <w:rFonts w:ascii="David" w:hAnsi="David"/>
          <w:rtl/>
        </w:rPr>
        <w:t xml:space="preserve"> (פורסם בנבו, 20.01.2014)]. ראו גם הוראת תקנה 43 ל</w:t>
      </w:r>
      <w:r w:rsidR="00FE79C2" w:rsidRPr="002B7B19">
        <w:rPr>
          <w:rFonts w:ascii="David" w:hAnsi="David"/>
          <w:b/>
          <w:bCs/>
          <w:rtl/>
        </w:rPr>
        <w:t>תקנות סדר הדין האזרחי</w:t>
      </w:r>
      <w:r w:rsidR="00FE79C2" w:rsidRPr="002B7B19">
        <w:rPr>
          <w:rFonts w:ascii="David" w:hAnsi="David"/>
          <w:rtl/>
        </w:rPr>
        <w:t>, תשע"ט-2018.</w:t>
      </w:r>
    </w:p>
    <w:p w:rsidR="00FE79C2" w:rsidRDefault="00FE79C2" w:rsidP="000D5D87">
      <w:pPr>
        <w:pStyle w:val="1"/>
        <w:spacing w:after="0" w:line="360" w:lineRule="auto"/>
        <w:jc w:val="both"/>
        <w:rPr>
          <w:rFonts w:ascii="David" w:hAnsi="David" w:cs="David"/>
          <w:sz w:val="24"/>
          <w:szCs w:val="24"/>
        </w:rPr>
      </w:pPr>
    </w:p>
    <w:p w:rsidR="00FE79C2" w:rsidRDefault="00FE79C2" w:rsidP="000D5D87">
      <w:pPr>
        <w:pStyle w:val="ae"/>
        <w:numPr>
          <w:ilvl w:val="0"/>
          <w:numId w:val="1"/>
        </w:numPr>
        <w:spacing w:line="360" w:lineRule="auto"/>
        <w:jc w:val="both"/>
        <w:rPr>
          <w:rFonts w:ascii="Arial" w:hAnsi="Arial"/>
          <w:noProof w:val="0"/>
        </w:rPr>
      </w:pPr>
      <w:r>
        <w:rPr>
          <w:rFonts w:ascii="Arial" w:hAnsi="Arial"/>
          <w:noProof w:val="0"/>
          <w:rtl/>
        </w:rPr>
        <w:t>הדוקטרינה של מעשה בית דין מכוח "השתק עילה" קובעת</w:t>
      </w:r>
      <w:r w:rsidR="001B2A3D">
        <w:rPr>
          <w:rFonts w:ascii="Arial" w:hAnsi="Arial" w:hint="cs"/>
          <w:noProof w:val="0"/>
          <w:rtl/>
        </w:rPr>
        <w:t xml:space="preserve"> ש</w:t>
      </w:r>
      <w:r>
        <w:rPr>
          <w:rFonts w:ascii="Arial" w:hAnsi="Arial"/>
          <w:noProof w:val="0"/>
          <w:rtl/>
        </w:rPr>
        <w:t xml:space="preserve">מקום שניתן פסק דין חלוט מעניק אותו פסק דין חסינות לבעלי הדין (או </w:t>
      </w:r>
      <w:r w:rsidR="003252F8">
        <w:rPr>
          <w:rFonts w:ascii="Arial" w:hAnsi="Arial" w:hint="cs"/>
          <w:noProof w:val="0"/>
          <w:rtl/>
        </w:rPr>
        <w:t>חלפיהם</w:t>
      </w:r>
      <w:r>
        <w:rPr>
          <w:rFonts w:ascii="Arial" w:hAnsi="Arial"/>
          <w:noProof w:val="0"/>
          <w:rtl/>
        </w:rPr>
        <w:t xml:space="preserve">) מפני תביעה נוספת המושתת על אותה עילת תביעה מצד אותם בעלי דין. בהקשר זה ניתנה למושג "עילת תביעה" משמעות רחבה במטרה להגשים את תכלית הכלל ולמנוע את הטרדת בעלי הדין בתביעות חוזרות בשל אותו מעשה [ע"א 303/79 </w:t>
      </w:r>
      <w:r>
        <w:rPr>
          <w:rFonts w:ascii="Arial" w:hAnsi="Arial"/>
          <w:b/>
          <w:bCs/>
          <w:noProof w:val="0"/>
          <w:rtl/>
        </w:rPr>
        <w:t>אבני נ' גליקסמן</w:t>
      </w:r>
      <w:r>
        <w:rPr>
          <w:rFonts w:ascii="Arial" w:hAnsi="Arial"/>
          <w:noProof w:val="0"/>
          <w:rtl/>
        </w:rPr>
        <w:t xml:space="preserve">, פ"ד לה(1) 92, 98 (1980); ע"א 8/83 </w:t>
      </w:r>
      <w:r>
        <w:rPr>
          <w:rFonts w:ascii="Arial" w:hAnsi="Arial"/>
          <w:b/>
          <w:bCs/>
          <w:noProof w:val="0"/>
          <w:rtl/>
        </w:rPr>
        <w:t>גורדון נ' כפר מונאש - מושב עובדים</w:t>
      </w:r>
      <w:r>
        <w:rPr>
          <w:rFonts w:ascii="Arial" w:hAnsi="Arial"/>
          <w:noProof w:val="0"/>
          <w:rtl/>
        </w:rPr>
        <w:t xml:space="preserve">, פ"ד לח(4) 797, 801 (1985); רע"א 6498/05 </w:t>
      </w:r>
      <w:r>
        <w:rPr>
          <w:rFonts w:ascii="Arial" w:hAnsi="Arial"/>
          <w:b/>
          <w:bCs/>
          <w:noProof w:val="0"/>
          <w:rtl/>
        </w:rPr>
        <w:t>צבעוני נ' בנק הפועלים בע"מ - סניף עפולה עלית</w:t>
      </w:r>
      <w:r>
        <w:rPr>
          <w:rFonts w:ascii="Arial" w:hAnsi="Arial"/>
          <w:noProof w:val="0"/>
          <w:rtl/>
        </w:rPr>
        <w:t xml:space="preserve"> (פורסם ב</w:t>
      </w:r>
      <w:r w:rsidR="00526064">
        <w:rPr>
          <w:rFonts w:ascii="Arial" w:hAnsi="Arial" w:hint="cs"/>
          <w:noProof w:val="0"/>
          <w:rtl/>
        </w:rPr>
        <w:t>נבו, 23.2.06)</w:t>
      </w:r>
      <w:r>
        <w:rPr>
          <w:rFonts w:ascii="Arial" w:hAnsi="Arial"/>
          <w:noProof w:val="0"/>
          <w:rtl/>
        </w:rPr>
        <w:t xml:space="preserve"> נינה זלצמן </w:t>
      </w:r>
      <w:r>
        <w:rPr>
          <w:rFonts w:ascii="Arial" w:hAnsi="Arial"/>
          <w:b/>
          <w:bCs/>
          <w:noProof w:val="0"/>
          <w:rtl/>
        </w:rPr>
        <w:t>מעשה בית-דין בהליך אזרחי</w:t>
      </w:r>
      <w:r>
        <w:rPr>
          <w:rFonts w:ascii="Arial" w:hAnsi="Arial"/>
          <w:noProof w:val="0"/>
          <w:rtl/>
        </w:rPr>
        <w:t>, 3-4, 29, 137-141</w:t>
      </w:r>
      <w:r w:rsidR="001B2A3D">
        <w:rPr>
          <w:rFonts w:ascii="Arial" w:hAnsi="Arial" w:hint="cs"/>
          <w:noProof w:val="0"/>
          <w:rtl/>
        </w:rPr>
        <w:t xml:space="preserve"> </w:t>
      </w:r>
      <w:r>
        <w:rPr>
          <w:rFonts w:ascii="Arial" w:hAnsi="Arial"/>
          <w:noProof w:val="0"/>
          <w:rtl/>
        </w:rPr>
        <w:t>(1991) (להלן: "</w:t>
      </w:r>
      <w:r>
        <w:rPr>
          <w:rFonts w:ascii="Arial" w:hAnsi="Arial"/>
          <w:b/>
          <w:bCs/>
          <w:noProof w:val="0"/>
          <w:rtl/>
        </w:rPr>
        <w:t>זלצמן</w:t>
      </w:r>
      <w:r>
        <w:rPr>
          <w:rFonts w:ascii="Arial" w:hAnsi="Arial"/>
          <w:noProof w:val="0"/>
          <w:rtl/>
        </w:rPr>
        <w:t>")].</w:t>
      </w:r>
    </w:p>
    <w:p w:rsidR="00976A73" w:rsidRDefault="00DD4D01" w:rsidP="000D5D87">
      <w:pPr>
        <w:pStyle w:val="ae"/>
        <w:spacing w:line="360" w:lineRule="auto"/>
        <w:jc w:val="both"/>
        <w:rPr>
          <w:rFonts w:ascii="David" w:hAnsi="David"/>
          <w:rtl/>
        </w:rPr>
      </w:pPr>
      <w:r w:rsidRPr="00976A73">
        <w:rPr>
          <w:rFonts w:ascii="David" w:hAnsi="David"/>
          <w:rtl/>
        </w:rPr>
        <w:t>כלל זה מתחלק לשני ענפים, השתק עילה, המקים מחסום דיוני בפני כל תביעה שכבר מוצתה בפסק דין קודם, והשתק פלוגתא, המקים מחסום דיוני בפני כל אחד מבעלי הדין המבקש להתדיין פעם נוספת על פלוגתא שכבר נדונה והוכרעה בפסק דין קודם, גם אם ההתדיינות הנ</w:t>
      </w:r>
      <w:r w:rsidR="00976A73">
        <w:rPr>
          <w:rFonts w:ascii="David" w:hAnsi="David"/>
          <w:rtl/>
        </w:rPr>
        <w:t xml:space="preserve">וספת מבוססת על עילת תביעה שונה </w:t>
      </w:r>
      <w:r w:rsidRPr="00976A73">
        <w:rPr>
          <w:rFonts w:ascii="David" w:hAnsi="David"/>
          <w:rtl/>
        </w:rPr>
        <w:t>[</w:t>
      </w:r>
      <w:hyperlink r:id="rId17" w:tgtFrame="blank" w:history="1">
        <w:r w:rsidRPr="00976A73">
          <w:rPr>
            <w:rStyle w:val="Hyperlink"/>
            <w:rFonts w:ascii="David" w:hAnsi="David"/>
            <w:color w:val="auto"/>
            <w:u w:val="none"/>
            <w:rtl/>
          </w:rPr>
          <w:t>ע"א 9551/04</w:t>
        </w:r>
      </w:hyperlink>
      <w:r w:rsidRPr="00976A73">
        <w:rPr>
          <w:rFonts w:ascii="David" w:hAnsi="David"/>
          <w:rtl/>
        </w:rPr>
        <w:t> </w:t>
      </w:r>
      <w:r w:rsidRPr="00976A73">
        <w:rPr>
          <w:rFonts w:ascii="David" w:hAnsi="David"/>
          <w:b/>
          <w:bCs/>
          <w:rtl/>
        </w:rPr>
        <w:t>אספן בניה ופיתוח בע"מ נ' מדינת ישראל </w:t>
      </w:r>
      <w:r w:rsidR="00976A73">
        <w:rPr>
          <w:rFonts w:ascii="David" w:hAnsi="David" w:hint="cs"/>
          <w:rtl/>
        </w:rPr>
        <w:t>(</w:t>
      </w:r>
      <w:r w:rsidRPr="00976A73">
        <w:rPr>
          <w:rFonts w:ascii="David" w:hAnsi="David"/>
          <w:rtl/>
        </w:rPr>
        <w:t>פורסם בנבו</w:t>
      </w:r>
      <w:r w:rsidR="00976A73">
        <w:rPr>
          <w:rFonts w:ascii="David" w:hAnsi="David" w:hint="cs"/>
          <w:rtl/>
        </w:rPr>
        <w:t>, 12.10.09)</w:t>
      </w:r>
      <w:r w:rsidRPr="00976A73">
        <w:rPr>
          <w:rFonts w:ascii="David" w:hAnsi="David"/>
          <w:rtl/>
        </w:rPr>
        <w:t>, פסקה 13)</w:t>
      </w:r>
      <w:r w:rsidR="00976A73">
        <w:rPr>
          <w:rFonts w:ascii="David" w:hAnsi="David" w:hint="cs"/>
          <w:rtl/>
        </w:rPr>
        <w:t>]</w:t>
      </w:r>
      <w:r w:rsidRPr="00976A73">
        <w:rPr>
          <w:rFonts w:ascii="David" w:hAnsi="David"/>
          <w:rtl/>
        </w:rPr>
        <w:t>. </w:t>
      </w:r>
    </w:p>
    <w:p w:rsidR="00DD4D01" w:rsidRPr="00976A73" w:rsidRDefault="00DD4D01" w:rsidP="000D5D87">
      <w:pPr>
        <w:pStyle w:val="ae"/>
        <w:spacing w:line="360" w:lineRule="auto"/>
        <w:jc w:val="both"/>
        <w:rPr>
          <w:rFonts w:ascii="David" w:hAnsi="David"/>
        </w:rPr>
      </w:pPr>
      <w:r w:rsidRPr="00976A73">
        <w:rPr>
          <w:rFonts w:ascii="David" w:hAnsi="David"/>
          <w:rtl/>
        </w:rPr>
        <w:t>לענייננו רלוונטי הכלל בדבר השתק עילה. בהתאם לכלל זה, על תובע לכלול בכתב תביעתו את מלוא הסעדים הנובעים מעילת התביעה, והוא יהיה מנוע מלתבוע סעדים שלא תבע בתביעתו הראשונה, אלא אם קיבל מבית המשפט היתר לפיצול סעדיו (</w:t>
      </w:r>
      <w:hyperlink r:id="rId18" w:tgtFrame="blank" w:history="1">
        <w:r w:rsidRPr="00976A73">
          <w:rPr>
            <w:rStyle w:val="Hyperlink"/>
            <w:rFonts w:ascii="David" w:hAnsi="David"/>
            <w:color w:val="auto"/>
            <w:u w:val="none"/>
            <w:rtl/>
          </w:rPr>
          <w:t>תקנה 25</w:t>
        </w:r>
      </w:hyperlink>
      <w:r w:rsidRPr="00976A73">
        <w:rPr>
          <w:rFonts w:ascii="David" w:hAnsi="David"/>
          <w:rtl/>
        </w:rPr>
        <w:t> </w:t>
      </w:r>
      <w:r w:rsidR="00E70A93">
        <w:rPr>
          <w:rFonts w:ascii="David" w:hAnsi="David" w:hint="cs"/>
          <w:rtl/>
        </w:rPr>
        <w:t>ל</w:t>
      </w:r>
      <w:r w:rsidR="00E70A93" w:rsidRPr="00E70A93">
        <w:rPr>
          <w:rFonts w:ascii="David" w:hAnsi="David" w:hint="cs"/>
          <w:b/>
          <w:bCs/>
          <w:rtl/>
        </w:rPr>
        <w:t>תקנות סדר הדין האזרחי</w:t>
      </w:r>
      <w:r w:rsidR="00E70A93">
        <w:rPr>
          <w:rFonts w:ascii="David" w:hAnsi="David" w:hint="cs"/>
          <w:rtl/>
        </w:rPr>
        <w:t>, תשע"ט-2018).</w:t>
      </w:r>
    </w:p>
    <w:p w:rsidR="00C67E1C" w:rsidRDefault="00C67E1C" w:rsidP="000D5D87">
      <w:pPr>
        <w:pStyle w:val="ae"/>
        <w:spacing w:line="360" w:lineRule="auto"/>
        <w:jc w:val="both"/>
        <w:rPr>
          <w:rFonts w:ascii="Arial" w:hAnsi="Arial"/>
          <w:noProof w:val="0"/>
        </w:rPr>
      </w:pPr>
    </w:p>
    <w:p w:rsidR="00E0025E" w:rsidRDefault="00E0025E" w:rsidP="000D5D87">
      <w:pPr>
        <w:pStyle w:val="ae"/>
        <w:numPr>
          <w:ilvl w:val="0"/>
          <w:numId w:val="1"/>
        </w:numPr>
        <w:spacing w:line="360" w:lineRule="auto"/>
        <w:jc w:val="both"/>
        <w:rPr>
          <w:rFonts w:ascii="Arial" w:hAnsi="Arial"/>
          <w:noProof w:val="0"/>
        </w:rPr>
      </w:pPr>
      <w:r>
        <w:rPr>
          <w:rFonts w:ascii="Arial" w:hAnsi="Arial" w:hint="cs"/>
          <w:noProof w:val="0"/>
          <w:rtl/>
        </w:rPr>
        <w:lastRenderedPageBreak/>
        <w:t xml:space="preserve">הן בהליך הקודם והן בהליך הנוכחי </w:t>
      </w:r>
      <w:r w:rsidR="003A2C22">
        <w:rPr>
          <w:rFonts w:ascii="Arial" w:hAnsi="Arial" w:hint="cs"/>
          <w:noProof w:val="0"/>
          <w:rtl/>
        </w:rPr>
        <w:t xml:space="preserve">טען המשיב </w:t>
      </w:r>
      <w:r w:rsidR="00D1612D">
        <w:rPr>
          <w:rFonts w:ascii="Arial" w:hAnsi="Arial" w:hint="cs"/>
          <w:noProof w:val="0"/>
          <w:rtl/>
        </w:rPr>
        <w:t xml:space="preserve">שהוא זכאי לפיצוי מהמבקשת </w:t>
      </w:r>
      <w:r w:rsidR="003A2C22">
        <w:rPr>
          <w:rFonts w:ascii="Arial" w:hAnsi="Arial" w:hint="cs"/>
          <w:noProof w:val="0"/>
          <w:rtl/>
        </w:rPr>
        <w:t xml:space="preserve">בגין נזקים </w:t>
      </w:r>
      <w:r w:rsidR="00D6310B">
        <w:rPr>
          <w:rFonts w:ascii="Arial" w:hAnsi="Arial" w:hint="cs"/>
          <w:noProof w:val="0"/>
          <w:rtl/>
        </w:rPr>
        <w:t xml:space="preserve">שונים </w:t>
      </w:r>
      <w:r w:rsidR="003A2C22">
        <w:rPr>
          <w:rFonts w:ascii="Arial" w:hAnsi="Arial" w:hint="cs"/>
          <w:noProof w:val="0"/>
          <w:rtl/>
        </w:rPr>
        <w:t xml:space="preserve">שנגרמו לו בעקבות תלונה שהגישה כנגדו (ובעטיה נלקח ממנו נשקו) ובגין נזקים </w:t>
      </w:r>
      <w:r w:rsidR="00D6310B">
        <w:rPr>
          <w:rFonts w:ascii="Arial" w:hAnsi="Arial" w:hint="cs"/>
          <w:noProof w:val="0"/>
          <w:rtl/>
        </w:rPr>
        <w:t xml:space="preserve">שונים </w:t>
      </w:r>
      <w:r w:rsidR="003A2C22">
        <w:rPr>
          <w:rFonts w:ascii="Arial" w:hAnsi="Arial" w:hint="cs"/>
          <w:noProof w:val="0"/>
          <w:rtl/>
        </w:rPr>
        <w:t>שנגרמו לו בעקבות הפרת ההסכם על ידיה.</w:t>
      </w:r>
    </w:p>
    <w:p w:rsidR="00D6310B" w:rsidRDefault="00D6310B" w:rsidP="000D5D87">
      <w:pPr>
        <w:pStyle w:val="ae"/>
        <w:spacing w:line="360" w:lineRule="auto"/>
        <w:jc w:val="both"/>
        <w:rPr>
          <w:rFonts w:ascii="Arial" w:hAnsi="Arial"/>
          <w:noProof w:val="0"/>
        </w:rPr>
      </w:pPr>
    </w:p>
    <w:p w:rsidR="00D6310B" w:rsidRDefault="003A2C22" w:rsidP="000D5D87">
      <w:pPr>
        <w:pStyle w:val="ae"/>
        <w:numPr>
          <w:ilvl w:val="0"/>
          <w:numId w:val="1"/>
        </w:numPr>
        <w:spacing w:line="360" w:lineRule="auto"/>
        <w:jc w:val="both"/>
        <w:rPr>
          <w:rFonts w:ascii="Arial" w:hAnsi="Arial"/>
          <w:noProof w:val="0"/>
        </w:rPr>
      </w:pPr>
      <w:r>
        <w:rPr>
          <w:rFonts w:ascii="Arial" w:hAnsi="Arial" w:hint="cs"/>
          <w:noProof w:val="0"/>
          <w:rtl/>
        </w:rPr>
        <w:t>מקובלת על</w:t>
      </w:r>
      <w:r w:rsidR="00D1612D">
        <w:rPr>
          <w:rFonts w:ascii="Arial" w:hAnsi="Arial" w:hint="cs"/>
          <w:noProof w:val="0"/>
          <w:rtl/>
        </w:rPr>
        <w:t>י</w:t>
      </w:r>
      <w:r>
        <w:rPr>
          <w:rFonts w:ascii="Arial" w:hAnsi="Arial" w:hint="cs"/>
          <w:noProof w:val="0"/>
          <w:rtl/>
        </w:rPr>
        <w:t xml:space="preserve"> טענת המבקשת לפיה בסוגיית </w:t>
      </w:r>
      <w:r w:rsidR="00521473">
        <w:rPr>
          <w:rFonts w:ascii="Arial" w:hAnsi="Arial" w:hint="cs"/>
          <w:noProof w:val="0"/>
          <w:rtl/>
        </w:rPr>
        <w:t xml:space="preserve">הנזק הנטען בעקבות </w:t>
      </w:r>
      <w:r>
        <w:rPr>
          <w:rFonts w:ascii="Arial" w:hAnsi="Arial" w:hint="cs"/>
          <w:noProof w:val="0"/>
          <w:rtl/>
        </w:rPr>
        <w:t xml:space="preserve">התלונה קיים מעשה בית דין. </w:t>
      </w:r>
      <w:r w:rsidR="005D0EFF">
        <w:rPr>
          <w:rFonts w:ascii="Arial" w:hAnsi="Arial" w:hint="cs"/>
          <w:noProof w:val="0"/>
          <w:rtl/>
        </w:rPr>
        <w:t xml:space="preserve">הסוגיה נמסרה להכרעת בית המשפט בהליך הקודם, וסופה בפסק דין חלוט ולא ניתן לחזור ולתובעה בהליך זה. </w:t>
      </w:r>
      <w:r w:rsidR="00D6310B">
        <w:rPr>
          <w:rFonts w:ascii="Arial" w:hAnsi="Arial" w:hint="cs"/>
          <w:noProof w:val="0"/>
          <w:rtl/>
        </w:rPr>
        <w:t xml:space="preserve">עילת התביעה לפיצוי בגין לשון הרע בעקבות הגשת התלונה ולנזק שנגרם למשיב בעקבות התלונה, והשאלות </w:t>
      </w:r>
      <w:r w:rsidR="00D6310B">
        <w:rPr>
          <w:rFonts w:ascii="Arial" w:hAnsi="Arial"/>
          <w:noProof w:val="0"/>
          <w:rtl/>
        </w:rPr>
        <w:t>שבמחלוקת הכרוכות בה, עובדתית ומשפטית, נידונו והוכרעו במפורש ובאו</w:t>
      </w:r>
      <w:r w:rsidR="00D6310B">
        <w:rPr>
          <w:rFonts w:ascii="Arial" w:hAnsi="Arial" w:hint="cs"/>
          <w:noProof w:val="0"/>
          <w:rtl/>
        </w:rPr>
        <w:t>פ</w:t>
      </w:r>
      <w:r w:rsidR="00D6310B">
        <w:rPr>
          <w:rFonts w:ascii="Arial" w:hAnsi="Arial"/>
          <w:noProof w:val="0"/>
          <w:rtl/>
        </w:rPr>
        <w:t>ן פוזיטיבי</w:t>
      </w:r>
      <w:r w:rsidR="00D6310B">
        <w:rPr>
          <w:rFonts w:ascii="Arial" w:hAnsi="Arial" w:hint="cs"/>
          <w:noProof w:val="0"/>
          <w:rtl/>
        </w:rPr>
        <w:t xml:space="preserve"> בפסק הדין. בפסק הדין</w:t>
      </w:r>
      <w:r w:rsidR="00977CAE">
        <w:rPr>
          <w:rFonts w:ascii="Arial" w:hAnsi="Arial" w:hint="cs"/>
          <w:noProof w:val="0"/>
          <w:rtl/>
        </w:rPr>
        <w:t xml:space="preserve"> נקבע שעומדת למבקשת חזקת הגנת תום הלב בהגשת התלונה שלא נסתרה על ידי המשיב (סעיף 82)</w:t>
      </w:r>
      <w:r w:rsidR="008E77EA">
        <w:rPr>
          <w:rFonts w:ascii="Arial" w:hAnsi="Arial" w:hint="cs"/>
          <w:noProof w:val="0"/>
          <w:rtl/>
        </w:rPr>
        <w:t xml:space="preserve"> ונדחתה התביעה לפיצוי בגין לשון הרע.</w:t>
      </w:r>
    </w:p>
    <w:p w:rsidR="00851C67" w:rsidRDefault="005D0EFF" w:rsidP="000D5D87">
      <w:pPr>
        <w:pStyle w:val="ae"/>
        <w:spacing w:line="360" w:lineRule="auto"/>
        <w:jc w:val="both"/>
        <w:rPr>
          <w:rFonts w:ascii="Arial" w:hAnsi="Arial"/>
          <w:noProof w:val="0"/>
        </w:rPr>
      </w:pPr>
      <w:r>
        <w:rPr>
          <w:rFonts w:ascii="Arial" w:hAnsi="Arial" w:hint="cs"/>
          <w:noProof w:val="0"/>
          <w:rtl/>
        </w:rPr>
        <w:t>בתביעה הנוכחית עותר המשיב לחייב את המבקשת בפיצוי בגין הנזק שנגרם לו בעקבות הצורך להגיש ערר על מנת לקבל בחזרה את הנשק</w:t>
      </w:r>
      <w:r w:rsidR="008E77EA">
        <w:rPr>
          <w:rFonts w:ascii="Arial" w:hAnsi="Arial" w:hint="cs"/>
          <w:noProof w:val="0"/>
          <w:rtl/>
        </w:rPr>
        <w:t xml:space="preserve"> (שנלקח ממנו בעקבות התלונה)</w:t>
      </w:r>
      <w:r>
        <w:rPr>
          <w:rFonts w:ascii="Arial" w:hAnsi="Arial" w:hint="cs"/>
          <w:noProof w:val="0"/>
          <w:rtl/>
        </w:rPr>
        <w:t>. אמנם הנזק הנטען לא נכלל בתובענה הראשונה ואולם העילה היא אותה עילה שנדונה ונדחתה על ידי בית המשפט במסגרת פסק הדין, והיות ונדחתה טענת האחריות של המבקשת כלפיו בגין הגשת התלונה אין גם תוחלת לבחינת נזקים שנגרמו לו בגין כך ואשר לא נדונו במסגרת התביעה הראשונה [</w:t>
      </w:r>
      <w:r w:rsidRPr="007E16F8">
        <w:rPr>
          <w:rFonts w:ascii="Arial" w:hAnsi="Arial" w:hint="cs"/>
          <w:noProof w:val="0"/>
          <w:rtl/>
        </w:rPr>
        <w:t xml:space="preserve">ע"א 3065/22 </w:t>
      </w:r>
      <w:r w:rsidRPr="007E16F8">
        <w:rPr>
          <w:rFonts w:ascii="Arial" w:hAnsi="Arial" w:hint="cs"/>
          <w:b/>
          <w:bCs/>
          <w:noProof w:val="0"/>
          <w:rtl/>
        </w:rPr>
        <w:t>יעקב נ' שירותי כשרות ושמיטה בד"צ</w:t>
      </w:r>
      <w:r w:rsidRPr="007E16F8">
        <w:rPr>
          <w:rFonts w:ascii="Arial" w:hAnsi="Arial" w:hint="cs"/>
          <w:noProof w:val="0"/>
          <w:rtl/>
        </w:rPr>
        <w:t xml:space="preserve"> (פורסם בנבו, 17.8.22)]</w:t>
      </w:r>
      <w:r>
        <w:rPr>
          <w:rFonts w:ascii="Arial" w:hAnsi="Arial" w:hint="cs"/>
          <w:noProof w:val="0"/>
          <w:rtl/>
        </w:rPr>
        <w:t xml:space="preserve">. </w:t>
      </w:r>
      <w:r w:rsidR="00851C67">
        <w:rPr>
          <w:rFonts w:ascii="Arial" w:hAnsi="Arial" w:hint="cs"/>
          <w:noProof w:val="0"/>
          <w:rtl/>
        </w:rPr>
        <w:t>על כן מושתק המשיב מלהעלות את טענותיו ביחס לנזק שנגרם לו בגין הגשת התלונה, לאחר שהן כבר נדונו במסגרת פסק הדין ונדחו. זכות הטיעון של המשיב ב</w:t>
      </w:r>
      <w:r w:rsidR="0038292B">
        <w:rPr>
          <w:rFonts w:ascii="Arial" w:hAnsi="Arial" w:hint="cs"/>
          <w:noProof w:val="0"/>
          <w:rtl/>
        </w:rPr>
        <w:t xml:space="preserve">נוגע לאחריות המבקשת לנזק בעקבות הגשת התלונה כבר מוצתה בהליך הקודם. </w:t>
      </w:r>
      <w:r w:rsidR="00851C67">
        <w:rPr>
          <w:rFonts w:ascii="Arial" w:hAnsi="Arial" w:hint="cs"/>
          <w:noProof w:val="0"/>
          <w:rtl/>
        </w:rPr>
        <w:t>אין לאפשר למשיב להחזיר את הגלגל אחורה ולפתוח מחדש את חזית המריבה ביחס להגשת התלונה, שלגביה ניתנה החלטה שיפוטית חלוטה לאחר שניתן למשיב יומו, הוא השמיע את טענותיו וטיעוניו, תביעתו נדונה לגופה והכרעה בפסק דין סופי וחלוט.</w:t>
      </w:r>
    </w:p>
    <w:p w:rsidR="008E77EA" w:rsidRDefault="008E77EA" w:rsidP="000D5D87">
      <w:pPr>
        <w:pStyle w:val="ae"/>
        <w:spacing w:line="360" w:lineRule="auto"/>
        <w:jc w:val="both"/>
        <w:rPr>
          <w:rFonts w:ascii="Arial" w:hAnsi="Arial"/>
          <w:noProof w:val="0"/>
        </w:rPr>
      </w:pPr>
      <w:r>
        <w:rPr>
          <w:rFonts w:ascii="Arial" w:hAnsi="Arial"/>
          <w:noProof w:val="0"/>
          <w:rtl/>
        </w:rPr>
        <w:t>הקביעה הפוזיטיבית החלוטה ל</w:t>
      </w:r>
      <w:r>
        <w:rPr>
          <w:rFonts w:ascii="Arial" w:hAnsi="Arial" w:hint="cs"/>
          <w:noProof w:val="0"/>
          <w:rtl/>
        </w:rPr>
        <w:t xml:space="preserve">העדר אחריות של המבקשת כלפי המשיב בגין הגשת התלנה עולה </w:t>
      </w:r>
      <w:r w:rsidR="00851C67">
        <w:rPr>
          <w:rFonts w:ascii="Arial" w:hAnsi="Arial" w:hint="cs"/>
          <w:noProof w:val="0"/>
          <w:rtl/>
        </w:rPr>
        <w:t xml:space="preserve">אפוא </w:t>
      </w:r>
      <w:r>
        <w:rPr>
          <w:rFonts w:ascii="Arial" w:hAnsi="Arial" w:hint="cs"/>
          <w:noProof w:val="0"/>
          <w:rtl/>
        </w:rPr>
        <w:t xml:space="preserve">כדי </w:t>
      </w:r>
      <w:r>
        <w:rPr>
          <w:rFonts w:ascii="Arial" w:hAnsi="Arial"/>
          <w:noProof w:val="0"/>
          <w:rtl/>
        </w:rPr>
        <w:t>השתק עילה המונע מה</w:t>
      </w:r>
      <w:r w:rsidR="00851C67">
        <w:rPr>
          <w:rFonts w:ascii="Arial" w:hAnsi="Arial" w:hint="cs"/>
          <w:noProof w:val="0"/>
          <w:rtl/>
        </w:rPr>
        <w:t>משיב</w:t>
      </w:r>
      <w:r>
        <w:rPr>
          <w:rFonts w:ascii="Arial" w:hAnsi="Arial"/>
          <w:noProof w:val="0"/>
          <w:rtl/>
        </w:rPr>
        <w:t xml:space="preserve"> לעתור כעת בתובענה חדשה </w:t>
      </w:r>
      <w:r w:rsidR="00851C67">
        <w:rPr>
          <w:rFonts w:ascii="Arial" w:hAnsi="Arial" w:hint="cs"/>
          <w:noProof w:val="0"/>
          <w:rtl/>
        </w:rPr>
        <w:t>כנגד המבקשת לפיצוי בגין נזק שנגרם לו בעקבות הגשת התלונה</w:t>
      </w:r>
      <w:r>
        <w:rPr>
          <w:rFonts w:ascii="Arial" w:hAnsi="Arial"/>
          <w:noProof w:val="0"/>
          <w:rtl/>
        </w:rPr>
        <w:t xml:space="preserve">. </w:t>
      </w:r>
    </w:p>
    <w:p w:rsidR="005D0EFF" w:rsidRDefault="005D0EFF" w:rsidP="000D5D87">
      <w:pPr>
        <w:pStyle w:val="ae"/>
        <w:spacing w:line="360" w:lineRule="auto"/>
        <w:jc w:val="both"/>
        <w:rPr>
          <w:rFonts w:ascii="Arial" w:hAnsi="Arial"/>
          <w:noProof w:val="0"/>
        </w:rPr>
      </w:pPr>
    </w:p>
    <w:p w:rsidR="00AA496B" w:rsidRDefault="0026515D" w:rsidP="000D5D87">
      <w:pPr>
        <w:pStyle w:val="ae"/>
        <w:numPr>
          <w:ilvl w:val="0"/>
          <w:numId w:val="1"/>
        </w:numPr>
        <w:spacing w:line="360" w:lineRule="auto"/>
        <w:jc w:val="both"/>
        <w:rPr>
          <w:rFonts w:ascii="Arial" w:hAnsi="Arial"/>
          <w:noProof w:val="0"/>
        </w:rPr>
      </w:pPr>
      <w:r>
        <w:rPr>
          <w:rFonts w:ascii="Arial" w:hAnsi="Arial" w:hint="cs"/>
          <w:noProof w:val="0"/>
          <w:rtl/>
        </w:rPr>
        <w:t xml:space="preserve">כן </w:t>
      </w:r>
      <w:r w:rsidR="00AA496B">
        <w:rPr>
          <w:rFonts w:ascii="Arial" w:hAnsi="Arial" w:hint="cs"/>
          <w:noProof w:val="0"/>
          <w:rtl/>
        </w:rPr>
        <w:t>מקובלת עלי טענת המבקשת לדחייה על הסף של ראש התביעה בגין שכר הטרחה בו נשא המשיב בהליכים אחרים. בהליך הקודם טען המשיב לנזק שנגרם לו בעקבות הצורך לנהל הליכים משפטיים בשל הפרת ההסכם. סוגיה זו נדונה והוכרעה בפסק הדין בו נקבע "</w:t>
      </w:r>
      <w:r w:rsidR="00AA496B" w:rsidRPr="00280FBE">
        <w:rPr>
          <w:rFonts w:ascii="Arial" w:hAnsi="Arial" w:hint="cs"/>
          <w:b/>
          <w:bCs/>
          <w:noProof w:val="0"/>
          <w:rtl/>
        </w:rPr>
        <w:t>הנזק הכלכלי בצורך לנהל הליכים משפטיים בעקבות סירוב התובעת לקיים את ההסכם יבוא לידי ביטוי במסגרת פסיקת ההוצאות</w:t>
      </w:r>
      <w:r w:rsidR="00AA496B">
        <w:rPr>
          <w:rFonts w:ascii="Arial" w:hAnsi="Arial" w:hint="cs"/>
          <w:noProof w:val="0"/>
          <w:rtl/>
        </w:rPr>
        <w:t>" (סעיף 75). בתביעה הנוכחית טוען שוב המשיב לשכר הטרחה בגין ההליכים הקודמים (בקיזוז הסכום שנפסק בפסק הדין), וכן לשכר טרחה נוסף בגין הליכים שנפתחו לאחר פסק הדין.</w:t>
      </w:r>
    </w:p>
    <w:p w:rsidR="0026515D" w:rsidRDefault="0026515D" w:rsidP="000D5D87">
      <w:pPr>
        <w:pStyle w:val="ae"/>
        <w:spacing w:line="360" w:lineRule="auto"/>
        <w:jc w:val="both"/>
        <w:rPr>
          <w:rFonts w:ascii="Arial" w:hAnsi="Arial"/>
          <w:noProof w:val="0"/>
          <w:rtl/>
        </w:rPr>
      </w:pPr>
      <w:r>
        <w:rPr>
          <w:rFonts w:ascii="Arial" w:hAnsi="Arial" w:hint="cs"/>
          <w:noProof w:val="0"/>
          <w:rtl/>
        </w:rPr>
        <w:lastRenderedPageBreak/>
        <w:t xml:space="preserve">הסעד לפיצוי בגין שכר הטרחה בו נשא המשיב בהליכים </w:t>
      </w:r>
      <w:r w:rsidR="00AA496B">
        <w:rPr>
          <w:rFonts w:ascii="Arial" w:hAnsi="Arial" w:hint="cs"/>
          <w:noProof w:val="0"/>
          <w:rtl/>
        </w:rPr>
        <w:t>הקודמים שהסתיימו בפסק הדין</w:t>
      </w:r>
      <w:r>
        <w:rPr>
          <w:rFonts w:ascii="Arial" w:hAnsi="Arial" w:hint="cs"/>
          <w:noProof w:val="0"/>
          <w:rtl/>
        </w:rPr>
        <w:t xml:space="preserve"> </w:t>
      </w:r>
      <w:r w:rsidR="00E15732">
        <w:rPr>
          <w:rFonts w:ascii="Arial" w:hAnsi="Arial" w:hint="cs"/>
          <w:noProof w:val="0"/>
          <w:rtl/>
        </w:rPr>
        <w:t>מוצה בפסק הדין</w:t>
      </w:r>
      <w:r>
        <w:rPr>
          <w:rFonts w:ascii="Arial" w:hAnsi="Arial" w:hint="cs"/>
          <w:noProof w:val="0"/>
          <w:rtl/>
        </w:rPr>
        <w:t>, והוא מושתק מלעתור בתובענה חדשה בגין הנזק שגרם לו בעקבות הצורך בניהולם.</w:t>
      </w:r>
    </w:p>
    <w:p w:rsidR="000D5D87" w:rsidRPr="000D5D87" w:rsidRDefault="00E15732" w:rsidP="000D5D87">
      <w:pPr>
        <w:spacing w:line="360" w:lineRule="auto"/>
        <w:ind w:left="720"/>
        <w:jc w:val="both"/>
        <w:rPr>
          <w:rFonts w:ascii="David" w:hAnsi="David"/>
          <w:noProof w:val="0"/>
        </w:rPr>
      </w:pPr>
      <w:r>
        <w:rPr>
          <w:rFonts w:ascii="Arial" w:hAnsi="Arial" w:hint="cs"/>
          <w:noProof w:val="0"/>
          <w:rtl/>
        </w:rPr>
        <w:t>אין מקומו של סעד לפיצוי בגין ניהול הליכים נוספים לאחר פסק הדין להתברר במסגרת תביעה נזיקית אלא היה על המשיב למצותו במסגרת הדיון באותם הליכים קונקרטיים</w:t>
      </w:r>
      <w:r w:rsidR="000D5D87">
        <w:rPr>
          <w:rFonts w:ascii="Arial" w:hAnsi="Arial" w:hint="cs"/>
          <w:noProof w:val="0"/>
          <w:rtl/>
        </w:rPr>
        <w:t xml:space="preserve"> שהסתיימו בהכרעה</w:t>
      </w:r>
      <w:r>
        <w:rPr>
          <w:rFonts w:ascii="Arial" w:hAnsi="Arial" w:hint="cs"/>
          <w:noProof w:val="0"/>
          <w:rtl/>
        </w:rPr>
        <w:t>, ודרכו חסומה מלהעלות טענות אלו במסגרת תביעה חדשה. גם אם לא טען המשיב לחיוב המבקשת בהוצאות משפט במסגרת או</w:t>
      </w:r>
      <w:r w:rsidR="000D5D87">
        <w:rPr>
          <w:rFonts w:ascii="Arial" w:hAnsi="Arial" w:hint="cs"/>
          <w:noProof w:val="0"/>
          <w:rtl/>
        </w:rPr>
        <w:t xml:space="preserve">תם הליכים קונקרטיים (ואינני יודעת אם כך נעשה) קיימת מניעות להעלות טענות שהחובה </w:t>
      </w:r>
      <w:r w:rsidR="000D5D87" w:rsidRPr="000D5D87">
        <w:rPr>
          <w:rFonts w:ascii="Arial" w:hAnsi="Arial" w:hint="cs"/>
          <w:noProof w:val="0"/>
          <w:rtl/>
        </w:rPr>
        <w:t xml:space="preserve">הייתה להעלותן בהתדיינות קודמת בין הצדדים </w:t>
      </w:r>
      <w:hyperlink r:id="rId19" w:history="1">
        <w:r w:rsidR="000D5D87" w:rsidRPr="000D5D87">
          <w:rPr>
            <w:rStyle w:val="Hyperlink"/>
            <w:rFonts w:ascii="David" w:hAnsi="David"/>
            <w:color w:val="auto"/>
            <w:u w:val="none"/>
            <w:rtl/>
          </w:rPr>
          <w:t>ע"א 8273/16</w:t>
        </w:r>
      </w:hyperlink>
      <w:r w:rsidR="000D5D87" w:rsidRPr="000D5D87">
        <w:rPr>
          <w:rFonts w:ascii="David" w:hAnsi="David"/>
          <w:rtl/>
        </w:rPr>
        <w:t xml:space="preserve"> </w:t>
      </w:r>
      <w:r w:rsidR="000D5D87" w:rsidRPr="000D5D87">
        <w:rPr>
          <w:rFonts w:ascii="David" w:hAnsi="David"/>
          <w:b/>
          <w:bCs/>
        </w:rPr>
        <w:t>fundacjo gala Salvador dali</w:t>
      </w:r>
      <w:r w:rsidR="000D5D87" w:rsidRPr="000D5D87">
        <w:rPr>
          <w:rFonts w:ascii="David" w:hAnsi="David"/>
          <w:b/>
          <w:bCs/>
          <w:rtl/>
        </w:rPr>
        <w:t xml:space="preserve"> נ' וי אס מרקטינג (ישראל 2005) בע"מ</w:t>
      </w:r>
      <w:r w:rsidR="000D5D87" w:rsidRPr="000D5D87">
        <w:rPr>
          <w:rFonts w:ascii="David" w:hAnsi="David"/>
          <w:rtl/>
        </w:rPr>
        <w:t xml:space="preserve"> (</w:t>
      </w:r>
      <w:r w:rsidR="000D5D87">
        <w:rPr>
          <w:rFonts w:ascii="David" w:hAnsi="David" w:hint="cs"/>
          <w:rtl/>
        </w:rPr>
        <w:t>פורסם ב</w:t>
      </w:r>
      <w:r w:rsidR="000D5D87" w:rsidRPr="000D5D87">
        <w:rPr>
          <w:rFonts w:ascii="David" w:hAnsi="David"/>
          <w:rtl/>
        </w:rPr>
        <w:t xml:space="preserve">נבו 11.7.21); </w:t>
      </w:r>
      <w:hyperlink r:id="rId20" w:history="1">
        <w:r w:rsidR="000D5D87" w:rsidRPr="000D5D87">
          <w:rPr>
            <w:rStyle w:val="Hyperlink"/>
            <w:rFonts w:ascii="David" w:hAnsi="David"/>
            <w:color w:val="auto"/>
            <w:u w:val="none"/>
            <w:rtl/>
          </w:rPr>
          <w:t>רע"א 2237/06</w:t>
        </w:r>
      </w:hyperlink>
      <w:r w:rsidR="000D5D87" w:rsidRPr="000D5D87">
        <w:rPr>
          <w:rFonts w:ascii="David" w:hAnsi="David"/>
          <w:rtl/>
        </w:rPr>
        <w:t xml:space="preserve"> </w:t>
      </w:r>
      <w:r w:rsidR="000D5D87" w:rsidRPr="000D5D87">
        <w:rPr>
          <w:rFonts w:ascii="David" w:hAnsi="David" w:hint="cs"/>
          <w:b/>
          <w:bCs/>
          <w:rtl/>
        </w:rPr>
        <w:t>בנק הפועלים בע"מ נ' וינשטיין</w:t>
      </w:r>
      <w:r w:rsidR="000D5D87" w:rsidRPr="000D5D87">
        <w:rPr>
          <w:rFonts w:ascii="David" w:hAnsi="David" w:hint="cs"/>
          <w:rtl/>
        </w:rPr>
        <w:t xml:space="preserve"> (</w:t>
      </w:r>
      <w:r w:rsidR="000D5D87">
        <w:rPr>
          <w:rFonts w:ascii="David" w:hAnsi="David" w:hint="cs"/>
          <w:rtl/>
        </w:rPr>
        <w:t>פורסם ב</w:t>
      </w:r>
      <w:r w:rsidR="000D5D87" w:rsidRPr="000D5D87">
        <w:rPr>
          <w:rFonts w:ascii="David" w:hAnsi="David" w:hint="cs"/>
          <w:rtl/>
        </w:rPr>
        <w:t>נבו</w:t>
      </w:r>
      <w:r w:rsidR="000D5D87">
        <w:rPr>
          <w:rFonts w:ascii="David" w:hAnsi="David" w:hint="cs"/>
          <w:rtl/>
        </w:rPr>
        <w:t>,</w:t>
      </w:r>
      <w:r w:rsidR="000D5D87" w:rsidRPr="000D5D87">
        <w:rPr>
          <w:rFonts w:ascii="David" w:hAnsi="David" w:hint="cs"/>
          <w:rtl/>
        </w:rPr>
        <w:t xml:space="preserve"> 8.3.09) פסקה 26].</w:t>
      </w:r>
    </w:p>
    <w:p w:rsidR="00E15732" w:rsidRDefault="000D5D87" w:rsidP="000D5D87">
      <w:pPr>
        <w:pStyle w:val="ae"/>
        <w:spacing w:line="360" w:lineRule="auto"/>
        <w:jc w:val="both"/>
        <w:rPr>
          <w:rFonts w:ascii="Arial" w:hAnsi="Arial"/>
          <w:noProof w:val="0"/>
          <w:rtl/>
        </w:rPr>
      </w:pPr>
      <w:r>
        <w:rPr>
          <w:rFonts w:ascii="Arial" w:hAnsi="Arial" w:hint="cs"/>
          <w:noProof w:val="0"/>
          <w:rtl/>
        </w:rPr>
        <w:t>המשיב מושתק אפוא מלעתור בתובענה חדשה לחיוב המבקשת בנזק שנגרם לו בגין תשלום שכר טרחה.</w:t>
      </w:r>
    </w:p>
    <w:p w:rsidR="000D5D87" w:rsidRPr="000D5D87" w:rsidRDefault="000D5D87" w:rsidP="000D5D87">
      <w:pPr>
        <w:pStyle w:val="ae"/>
        <w:spacing w:line="360" w:lineRule="auto"/>
        <w:jc w:val="both"/>
        <w:rPr>
          <w:rFonts w:ascii="Arial" w:hAnsi="Arial"/>
          <w:noProof w:val="0"/>
          <w:rtl/>
        </w:rPr>
      </w:pPr>
    </w:p>
    <w:p w:rsidR="002B1E13" w:rsidRDefault="00521473" w:rsidP="00280FBE">
      <w:pPr>
        <w:pStyle w:val="ae"/>
        <w:numPr>
          <w:ilvl w:val="0"/>
          <w:numId w:val="1"/>
        </w:numPr>
        <w:spacing w:line="360" w:lineRule="auto"/>
        <w:jc w:val="both"/>
        <w:rPr>
          <w:rFonts w:ascii="Arial" w:hAnsi="Arial"/>
          <w:noProof w:val="0"/>
        </w:rPr>
      </w:pPr>
      <w:r w:rsidRPr="00D1612D">
        <w:rPr>
          <w:rFonts w:ascii="Arial" w:hAnsi="Arial" w:hint="cs"/>
          <w:noProof w:val="0"/>
          <w:rtl/>
        </w:rPr>
        <w:t xml:space="preserve">שונים הם פני הדברים בכל הנוגע לסוגיית הנזק הנטען בעקבות הפרת ההסכם. </w:t>
      </w:r>
      <w:r w:rsidR="009C6919" w:rsidRPr="00D1612D">
        <w:rPr>
          <w:rFonts w:ascii="David" w:hAnsi="David" w:hint="cs"/>
          <w:noProof w:val="0"/>
          <w:color w:val="000000" w:themeColor="text1"/>
          <w:rtl/>
        </w:rPr>
        <w:t>בתובענה הנוכחית טוען המשיב לנזקים שנגרמו לו</w:t>
      </w:r>
      <w:r w:rsidR="009C6919" w:rsidRPr="00D1612D">
        <w:rPr>
          <w:rFonts w:ascii="Arial" w:hAnsi="Arial" w:hint="cs"/>
          <w:noProof w:val="0"/>
          <w:rtl/>
        </w:rPr>
        <w:t xml:space="preserve"> כתוצאה מהפרת ההסכם המתמשכת מצד הנתבעת</w:t>
      </w:r>
      <w:r w:rsidR="00F42951" w:rsidRPr="00D1612D">
        <w:rPr>
          <w:rFonts w:ascii="Arial" w:hAnsi="Arial" w:hint="cs"/>
          <w:noProof w:val="0"/>
          <w:rtl/>
        </w:rPr>
        <w:t>, שנמשכה גם לאחר הגשת כתב התביעה בהליך הקודם ולדבריו גם לאחר שניתן פסק הדין,</w:t>
      </w:r>
      <w:r w:rsidR="009C6919" w:rsidRPr="00D1612D">
        <w:rPr>
          <w:rFonts w:ascii="Arial" w:hAnsi="Arial" w:hint="cs"/>
          <w:noProof w:val="0"/>
          <w:rtl/>
        </w:rPr>
        <w:t xml:space="preserve"> בעטי</w:t>
      </w:r>
      <w:r w:rsidR="002B1E13">
        <w:rPr>
          <w:rFonts w:ascii="Arial" w:hAnsi="Arial" w:hint="cs"/>
          <w:noProof w:val="0"/>
          <w:rtl/>
        </w:rPr>
        <w:t>ה</w:t>
      </w:r>
      <w:r w:rsidR="009C6919" w:rsidRPr="00D1612D">
        <w:rPr>
          <w:rFonts w:ascii="Arial" w:hAnsi="Arial" w:hint="cs"/>
          <w:noProof w:val="0"/>
          <w:rtl/>
        </w:rPr>
        <w:t xml:space="preserve"> לטענתו </w:t>
      </w:r>
      <w:r w:rsidR="00F42951" w:rsidRPr="00D1612D">
        <w:rPr>
          <w:rFonts w:ascii="Arial" w:hAnsi="Arial" w:hint="cs"/>
          <w:noProof w:val="0"/>
          <w:rtl/>
        </w:rPr>
        <w:t xml:space="preserve">נגרמו לו נזקים </w:t>
      </w:r>
      <w:r w:rsidR="00F42951" w:rsidRPr="00280FBE">
        <w:rPr>
          <w:rFonts w:ascii="Arial" w:hAnsi="Arial" w:hint="cs"/>
          <w:noProof w:val="0"/>
          <w:u w:val="single"/>
          <w:rtl/>
        </w:rPr>
        <w:t>לאחר</w:t>
      </w:r>
      <w:r w:rsidR="00F42951" w:rsidRPr="00D1612D">
        <w:rPr>
          <w:rFonts w:ascii="Arial" w:hAnsi="Arial" w:hint="cs"/>
          <w:noProof w:val="0"/>
          <w:rtl/>
        </w:rPr>
        <w:t xml:space="preserve"> </w:t>
      </w:r>
      <w:r w:rsidR="00D1612D" w:rsidRPr="00D1612D">
        <w:rPr>
          <w:rFonts w:ascii="Arial" w:hAnsi="Arial" w:hint="cs"/>
          <w:noProof w:val="0"/>
          <w:rtl/>
        </w:rPr>
        <w:t xml:space="preserve">מועד </w:t>
      </w:r>
      <w:r w:rsidR="00F42951" w:rsidRPr="00D1612D">
        <w:rPr>
          <w:rFonts w:ascii="Arial" w:hAnsi="Arial" w:hint="cs"/>
          <w:noProof w:val="0"/>
          <w:rtl/>
        </w:rPr>
        <w:t xml:space="preserve">הגשת כתב התביעה בהליך הקודם. כך בין היתר </w:t>
      </w:r>
      <w:r w:rsidR="009C6919" w:rsidRPr="00D1612D">
        <w:rPr>
          <w:rFonts w:ascii="Arial" w:hAnsi="Arial" w:hint="cs"/>
          <w:noProof w:val="0"/>
          <w:rtl/>
        </w:rPr>
        <w:t xml:space="preserve">איבד </w:t>
      </w:r>
      <w:r w:rsidR="00F42951" w:rsidRPr="00D1612D">
        <w:rPr>
          <w:rFonts w:ascii="Arial" w:hAnsi="Arial" w:hint="cs"/>
          <w:noProof w:val="0"/>
          <w:rtl/>
        </w:rPr>
        <w:t xml:space="preserve">לדבריו </w:t>
      </w:r>
      <w:r w:rsidR="009C6919" w:rsidRPr="00D1612D">
        <w:rPr>
          <w:rFonts w:ascii="Arial" w:hAnsi="Arial" w:hint="cs"/>
          <w:noProof w:val="0"/>
          <w:rtl/>
        </w:rPr>
        <w:t xml:space="preserve">את הזכות להתקבל לחברות בקיבוץ סמוך, ונדרש </w:t>
      </w:r>
      <w:r w:rsidR="00280FBE">
        <w:rPr>
          <w:rFonts w:ascii="Arial" w:hAnsi="Arial" w:hint="cs"/>
          <w:noProof w:val="0"/>
          <w:rtl/>
        </w:rPr>
        <w:t>לפרוע הלוואה ולשאת בתשלום שכר דירה.</w:t>
      </w:r>
    </w:p>
    <w:p w:rsidR="00F80979" w:rsidRDefault="008F53D2" w:rsidP="000D5D87">
      <w:pPr>
        <w:pStyle w:val="ae"/>
        <w:spacing w:line="360" w:lineRule="auto"/>
        <w:jc w:val="both"/>
        <w:rPr>
          <w:rFonts w:ascii="Arial" w:hAnsi="Arial"/>
          <w:noProof w:val="0"/>
        </w:rPr>
      </w:pPr>
      <w:r w:rsidRPr="00D1612D">
        <w:rPr>
          <w:rFonts w:ascii="Arial" w:hAnsi="Arial" w:hint="cs"/>
          <w:noProof w:val="0"/>
          <w:rtl/>
        </w:rPr>
        <w:t xml:space="preserve">הפסיקה הכירה בכך שהפרת הסכם יכולה להוות הפרה מתחדשת או נמשכת שיכולה להקים עילות תביעה חדשות ועצמאיות. </w:t>
      </w:r>
      <w:r w:rsidR="00D1612D" w:rsidRPr="00D1612D">
        <w:rPr>
          <w:rFonts w:ascii="Arial" w:hAnsi="Arial" w:hint="cs"/>
          <w:noProof w:val="0"/>
          <w:rtl/>
        </w:rPr>
        <w:t>נקבע ש</w:t>
      </w:r>
      <w:r w:rsidR="009C6919" w:rsidRPr="00D1612D">
        <w:rPr>
          <w:rFonts w:ascii="Arial" w:hAnsi="Arial"/>
          <w:noProof w:val="0"/>
          <w:rtl/>
        </w:rPr>
        <w:t>כאשר מדובר בהפרה נמשכת, אין בהגשת תביעה בגין הפרה נמשכת, או הפרות חוזרות ונשנות של אותו חוזה, כדי למנוע מהתובע להגיש בעתיד תביעה נוספת בגין נזק שנגרם כתוצאה מהמשך מעשה ההפרה או מהפרות נוספות של החוזה, שאירעו לאחר הגשת התביעה הראשונה</w:t>
      </w:r>
      <w:r w:rsidRPr="00D1612D">
        <w:rPr>
          <w:rFonts w:ascii="Arial" w:hAnsi="Arial" w:hint="cs"/>
          <w:noProof w:val="0"/>
          <w:rtl/>
        </w:rPr>
        <w:t xml:space="preserve">. </w:t>
      </w:r>
      <w:r w:rsidR="00F80979">
        <w:rPr>
          <w:rFonts w:ascii="Arial" w:hAnsi="Arial" w:hint="cs"/>
          <w:noProof w:val="0"/>
          <w:rtl/>
        </w:rPr>
        <w:t>הפרה שאירעה לאחר הגשת התביעה הראשונה מקימה בידי הנפגע עילת תביעה חדשה אשר ממילא לא נבלעה על ידי פסק הדין הראשון, ופסק הדין אינו חוסם את הנפגע מפני הגשת תביעה בגין ההפרה הנוספת.</w:t>
      </w:r>
    </w:p>
    <w:p w:rsidR="0038292B" w:rsidRDefault="00E445B1" w:rsidP="00280FBE">
      <w:pPr>
        <w:pStyle w:val="ae"/>
        <w:spacing w:line="360" w:lineRule="auto"/>
        <w:jc w:val="both"/>
        <w:rPr>
          <w:rFonts w:ascii="Arial" w:hAnsi="Arial"/>
          <w:noProof w:val="0"/>
          <w:rtl/>
        </w:rPr>
      </w:pPr>
      <w:r>
        <w:rPr>
          <w:rFonts w:ascii="Arial" w:hAnsi="Arial" w:hint="cs"/>
          <w:noProof w:val="0"/>
          <w:rtl/>
        </w:rPr>
        <w:t xml:space="preserve">לפיכך, </w:t>
      </w:r>
      <w:r w:rsidR="008B75F5">
        <w:rPr>
          <w:rFonts w:ascii="Arial" w:hAnsi="Arial" w:hint="cs"/>
          <w:noProof w:val="0"/>
          <w:rtl/>
        </w:rPr>
        <w:t xml:space="preserve">במקרה של הפרה נמשכת </w:t>
      </w:r>
      <w:r w:rsidR="008725C2" w:rsidRPr="00D1612D">
        <w:rPr>
          <w:rFonts w:ascii="David" w:hAnsi="David"/>
          <w:color w:val="000000"/>
          <w:shd w:val="clear" w:color="auto" w:fill="FFFFFF"/>
          <w:rtl/>
        </w:rPr>
        <w:t>בהעדר חפיפה בזמנים עילות התביעה אינן זהות ולכן לא קיים השתק עילה </w:t>
      </w:r>
      <w:r w:rsidR="005D0EFF" w:rsidRPr="00D1612D">
        <w:rPr>
          <w:rFonts w:ascii="David" w:hAnsi="David" w:hint="cs"/>
          <w:color w:val="000000"/>
          <w:shd w:val="clear" w:color="auto" w:fill="FFFFFF"/>
          <w:rtl/>
        </w:rPr>
        <w:t>[</w:t>
      </w:r>
      <w:hyperlink r:id="rId21" w:tgtFrame="blank" w:history="1">
        <w:r w:rsidR="008725C2" w:rsidRPr="00D1612D">
          <w:rPr>
            <w:rStyle w:val="Hyperlink"/>
            <w:rFonts w:ascii="David" w:hAnsi="David"/>
            <w:color w:val="auto"/>
            <w:u w:val="none"/>
            <w:shd w:val="clear" w:color="auto" w:fill="FFFFFF"/>
            <w:rtl/>
          </w:rPr>
          <w:t>ע"א 27/80</w:t>
        </w:r>
      </w:hyperlink>
      <w:r w:rsidR="008725C2" w:rsidRPr="00D1612D">
        <w:rPr>
          <w:rFonts w:ascii="David" w:hAnsi="David"/>
          <w:b/>
          <w:bCs/>
          <w:shd w:val="clear" w:color="auto" w:fill="FFFFFF"/>
        </w:rPr>
        <w:t> </w:t>
      </w:r>
      <w:r w:rsidR="008725C2" w:rsidRPr="00D1612D">
        <w:rPr>
          <w:rFonts w:ascii="David" w:hAnsi="David"/>
          <w:b/>
          <w:bCs/>
          <w:shd w:val="clear" w:color="auto" w:fill="FFFFFF"/>
          <w:rtl/>
        </w:rPr>
        <w:t>ישראל ארגמן חברה לבנין בע"מ ואח' נגד ברנפלד</w:t>
      </w:r>
      <w:r w:rsidR="005D0EFF" w:rsidRPr="00D1612D">
        <w:rPr>
          <w:rFonts w:ascii="David" w:hAnsi="David"/>
          <w:shd w:val="clear" w:color="auto" w:fill="FFFFFF"/>
        </w:rPr>
        <w:t xml:space="preserve">, </w:t>
      </w:r>
      <w:r w:rsidR="008725C2" w:rsidRPr="00D1612D">
        <w:rPr>
          <w:rFonts w:ascii="David" w:hAnsi="David"/>
          <w:shd w:val="clear" w:color="auto" w:fill="FFFFFF"/>
          <w:rtl/>
        </w:rPr>
        <w:t>פ"ד לו(1) 393</w:t>
      </w:r>
      <w:r w:rsidR="005D0EFF" w:rsidRPr="00D1612D">
        <w:rPr>
          <w:rFonts w:ascii="David" w:hAnsi="David" w:hint="cs"/>
          <w:shd w:val="clear" w:color="auto" w:fill="FFFFFF"/>
          <w:rtl/>
        </w:rPr>
        <w:t>].</w:t>
      </w:r>
      <w:r w:rsidR="005D0EFF" w:rsidRPr="00D1612D">
        <w:rPr>
          <w:rFonts w:ascii="Arial" w:hAnsi="Arial" w:hint="cs"/>
          <w:noProof w:val="0"/>
          <w:rtl/>
        </w:rPr>
        <w:t xml:space="preserve"> </w:t>
      </w:r>
      <w:r w:rsidR="009C6919" w:rsidRPr="00D1612D">
        <w:rPr>
          <w:rFonts w:ascii="Arial" w:hAnsi="Arial" w:hint="cs"/>
          <w:noProof w:val="0"/>
          <w:rtl/>
        </w:rPr>
        <w:t xml:space="preserve">כך נקבע גם שלא נדרשת בקשה לפיצול סעדים עת עסקינן בעוולה נמשכת [רע"א 6840/15 </w:t>
      </w:r>
      <w:r w:rsidR="009C6919" w:rsidRPr="00D1612D">
        <w:rPr>
          <w:rFonts w:ascii="Arial" w:hAnsi="Arial" w:hint="cs"/>
          <w:b/>
          <w:bCs/>
          <w:noProof w:val="0"/>
          <w:rtl/>
        </w:rPr>
        <w:t>עירית חולון נ' בילו</w:t>
      </w:r>
      <w:r w:rsidR="009C6919" w:rsidRPr="00D1612D">
        <w:rPr>
          <w:rFonts w:ascii="Arial" w:hAnsi="Arial" w:hint="cs"/>
          <w:noProof w:val="0"/>
          <w:rtl/>
        </w:rPr>
        <w:t xml:space="preserve"> (פורסם בנבו, 21.12.15); ת"א (ת"א) 7182-09-17 </w:t>
      </w:r>
      <w:r w:rsidR="009C6919" w:rsidRPr="00D1612D">
        <w:rPr>
          <w:rFonts w:ascii="Arial" w:hAnsi="Arial" w:hint="cs"/>
          <w:b/>
          <w:bCs/>
          <w:noProof w:val="0"/>
          <w:rtl/>
        </w:rPr>
        <w:t>האחים שרגאוי ייזום ובניה בע"מ נ' קגן</w:t>
      </w:r>
      <w:r w:rsidR="009C6919" w:rsidRPr="00D1612D">
        <w:rPr>
          <w:rFonts w:ascii="Arial" w:hAnsi="Arial" w:hint="cs"/>
          <w:noProof w:val="0"/>
          <w:rtl/>
        </w:rPr>
        <w:t xml:space="preserve"> (פורסם בנבו, 8.1.20)].</w:t>
      </w:r>
      <w:r w:rsidR="0038292B">
        <w:rPr>
          <w:rFonts w:ascii="David" w:hAnsi="David" w:hint="cs"/>
          <w:color w:val="000000"/>
          <w:rtl/>
        </w:rPr>
        <w:t xml:space="preserve"> </w:t>
      </w:r>
      <w:r w:rsidR="002B07DD" w:rsidRPr="003914AD">
        <w:rPr>
          <w:rFonts w:ascii="David" w:hAnsi="David"/>
          <w:color w:val="000000"/>
          <w:rtl/>
        </w:rPr>
        <w:t xml:space="preserve">הפרה שנטען כי ארעה לאחר הגשת התביעה </w:t>
      </w:r>
      <w:r w:rsidR="00715A89" w:rsidRPr="003914AD">
        <w:rPr>
          <w:rFonts w:ascii="David" w:hAnsi="David" w:hint="cs"/>
          <w:color w:val="000000"/>
          <w:rtl/>
        </w:rPr>
        <w:t>בהליך הקודם</w:t>
      </w:r>
      <w:r w:rsidR="002B07DD" w:rsidRPr="003914AD">
        <w:rPr>
          <w:rFonts w:ascii="David" w:hAnsi="David"/>
          <w:color w:val="000000"/>
          <w:rtl/>
        </w:rPr>
        <w:t xml:space="preserve"> מהווה </w:t>
      </w:r>
      <w:r w:rsidR="00715A89" w:rsidRPr="003914AD">
        <w:rPr>
          <w:rFonts w:ascii="David" w:hAnsi="David" w:hint="cs"/>
          <w:color w:val="000000"/>
          <w:rtl/>
        </w:rPr>
        <w:t>אפוא</w:t>
      </w:r>
      <w:r w:rsidR="002B07DD" w:rsidRPr="003914AD">
        <w:rPr>
          <w:rFonts w:ascii="David" w:hAnsi="David"/>
          <w:color w:val="000000"/>
          <w:rtl/>
        </w:rPr>
        <w:t xml:space="preserve"> עילה חדשה, אשר בגינה </w:t>
      </w:r>
      <w:r w:rsidR="00715A89" w:rsidRPr="003914AD">
        <w:rPr>
          <w:rFonts w:ascii="David" w:hAnsi="David"/>
          <w:color w:val="000000"/>
          <w:rtl/>
        </w:rPr>
        <w:t>זכא</w:t>
      </w:r>
      <w:r w:rsidR="00715A89" w:rsidRPr="003914AD">
        <w:rPr>
          <w:rFonts w:ascii="David" w:hAnsi="David" w:hint="cs"/>
          <w:color w:val="000000"/>
          <w:rtl/>
        </w:rPr>
        <w:t>י ה</w:t>
      </w:r>
      <w:r w:rsidR="00280FBE">
        <w:rPr>
          <w:rFonts w:ascii="David" w:hAnsi="David" w:hint="cs"/>
          <w:color w:val="000000"/>
          <w:rtl/>
        </w:rPr>
        <w:t>תובע</w:t>
      </w:r>
      <w:r w:rsidR="002B07DD" w:rsidRPr="003914AD">
        <w:rPr>
          <w:rFonts w:ascii="David" w:hAnsi="David"/>
          <w:color w:val="000000"/>
          <w:rtl/>
        </w:rPr>
        <w:t xml:space="preserve"> לתבוע</w:t>
      </w:r>
      <w:r w:rsidR="00715A89" w:rsidRPr="003914AD">
        <w:rPr>
          <w:rFonts w:ascii="Arial" w:hAnsi="Arial" w:hint="cs"/>
          <w:noProof w:val="0"/>
          <w:rtl/>
        </w:rPr>
        <w:t xml:space="preserve">. </w:t>
      </w:r>
    </w:p>
    <w:p w:rsidR="0038292B" w:rsidRDefault="0038292B" w:rsidP="000D5D87">
      <w:pPr>
        <w:pStyle w:val="ae"/>
        <w:spacing w:line="360" w:lineRule="auto"/>
        <w:jc w:val="both"/>
        <w:rPr>
          <w:rFonts w:ascii="Arial" w:hAnsi="Arial"/>
          <w:noProof w:val="0"/>
          <w:rtl/>
        </w:rPr>
      </w:pPr>
    </w:p>
    <w:p w:rsidR="00E445B1" w:rsidRDefault="0038292B" w:rsidP="000D5D87">
      <w:pPr>
        <w:pStyle w:val="ae"/>
        <w:numPr>
          <w:ilvl w:val="0"/>
          <w:numId w:val="1"/>
        </w:numPr>
        <w:spacing w:line="360" w:lineRule="auto"/>
        <w:jc w:val="both"/>
        <w:rPr>
          <w:rFonts w:ascii="Arial" w:hAnsi="Arial"/>
          <w:noProof w:val="0"/>
        </w:rPr>
      </w:pPr>
      <w:r>
        <w:rPr>
          <w:rFonts w:ascii="Arial" w:hAnsi="Arial" w:hint="cs"/>
          <w:noProof w:val="0"/>
          <w:rtl/>
        </w:rPr>
        <w:lastRenderedPageBreak/>
        <w:t>העולה מהאמור הוא ש</w:t>
      </w:r>
      <w:r w:rsidR="00E445B1">
        <w:rPr>
          <w:rFonts w:ascii="Arial" w:hAnsi="Arial" w:hint="cs"/>
          <w:noProof w:val="0"/>
          <w:rtl/>
        </w:rPr>
        <w:t xml:space="preserve">לא נחסמה הדרך מפני המשיב לתבוע בגין נזקים נוספים שנגרמו לו בעקבות הפרת ההסכם לאחר הגשת התביעה בהליך הקודם, לא מחמת השתק עילה ולא מחמת השתק פלוגתא. </w:t>
      </w:r>
    </w:p>
    <w:p w:rsidR="009C6919" w:rsidRPr="00E445B1" w:rsidRDefault="003914AD" w:rsidP="000D5D87">
      <w:pPr>
        <w:pStyle w:val="ae"/>
        <w:spacing w:line="360" w:lineRule="auto"/>
        <w:jc w:val="both"/>
        <w:rPr>
          <w:rFonts w:ascii="Arial" w:hAnsi="Arial"/>
          <w:noProof w:val="0"/>
        </w:rPr>
      </w:pPr>
      <w:r w:rsidRPr="003914AD">
        <w:rPr>
          <w:rFonts w:ascii="Arial" w:hAnsi="Arial" w:hint="cs"/>
          <w:noProof w:val="0"/>
          <w:rtl/>
        </w:rPr>
        <w:t xml:space="preserve">לטענת המבקשת ביסס המשיב את תביעתו בגין הפרת ההסכם שקדמה לתביעה </w:t>
      </w:r>
      <w:r w:rsidR="0038292B">
        <w:rPr>
          <w:rFonts w:ascii="Arial" w:hAnsi="Arial" w:hint="cs"/>
          <w:noProof w:val="0"/>
          <w:rtl/>
        </w:rPr>
        <w:t xml:space="preserve">בהליך הקודם </w:t>
      </w:r>
      <w:r w:rsidRPr="003914AD">
        <w:rPr>
          <w:rFonts w:ascii="Arial" w:hAnsi="Arial" w:hint="cs"/>
          <w:noProof w:val="0"/>
          <w:rtl/>
        </w:rPr>
        <w:t xml:space="preserve">(סעיף 21 לבקשה). </w:t>
      </w:r>
      <w:r w:rsidR="009C6919" w:rsidRPr="003914AD">
        <w:rPr>
          <w:rFonts w:ascii="Arial" w:hAnsi="Arial" w:hint="cs"/>
          <w:noProof w:val="0"/>
          <w:rtl/>
        </w:rPr>
        <w:t xml:space="preserve">השאלה אם התביעה הנוכחית נוגעת לזנק שנגרם למשיב בגין המשך </w:t>
      </w:r>
      <w:r w:rsidR="00865F3A" w:rsidRPr="003914AD">
        <w:rPr>
          <w:rFonts w:ascii="Arial" w:hAnsi="Arial" w:hint="cs"/>
          <w:noProof w:val="0"/>
          <w:rtl/>
        </w:rPr>
        <w:t>הפרת ההסכם לאחר מועד הגשת התביעה בהליך הקודם</w:t>
      </w:r>
      <w:r w:rsidR="009C6919" w:rsidRPr="003914AD">
        <w:rPr>
          <w:rFonts w:ascii="Arial" w:hAnsi="Arial" w:hint="cs"/>
          <w:noProof w:val="0"/>
          <w:rtl/>
        </w:rPr>
        <w:t xml:space="preserve">, המקימה לו עילת תביעה חדשה ועצמאית, מצריכה בירור עובדתי. </w:t>
      </w:r>
      <w:r w:rsidR="009C6919">
        <w:rPr>
          <w:rtl/>
        </w:rPr>
        <w:t xml:space="preserve">הלכה היא שכאשר נדרש בירור </w:t>
      </w:r>
      <w:r w:rsidR="009C6919" w:rsidRPr="00B0562A">
        <w:rPr>
          <w:rtl/>
        </w:rPr>
        <w:t>עובדתי לשם ההכרעה אין לדון בטענה כטענת סף [</w:t>
      </w:r>
      <w:hyperlink r:id="rId22" w:history="1">
        <w:r w:rsidR="009C6919" w:rsidRPr="003914AD">
          <w:rPr>
            <w:rStyle w:val="Hyperlink"/>
            <w:color w:val="auto"/>
            <w:u w:val="none"/>
            <w:rtl/>
          </w:rPr>
          <w:t>רע"א 661/17</w:t>
        </w:r>
      </w:hyperlink>
      <w:r w:rsidR="009C6919" w:rsidRPr="00B0562A">
        <w:rPr>
          <w:rtl/>
        </w:rPr>
        <w:t xml:space="preserve"> </w:t>
      </w:r>
      <w:r w:rsidR="009C6919" w:rsidRPr="003914AD">
        <w:rPr>
          <w:rFonts w:hint="cs"/>
          <w:b/>
          <w:bCs/>
          <w:rtl/>
        </w:rPr>
        <w:t>אלמשרק חברה לביטוח בע"מ נ' אלסנדוק (הקרן) אלפלסטיני לפיצוי נפגעי תאונות דרכים</w:t>
      </w:r>
      <w:r w:rsidR="009C6919" w:rsidRPr="00B0562A">
        <w:rPr>
          <w:rFonts w:hint="cs"/>
          <w:rtl/>
        </w:rPr>
        <w:t xml:space="preserve">, (פורסם בנבו, 16.2.17) פסקה 4 וההפניות שם; </w:t>
      </w:r>
      <w:hyperlink r:id="rId23" w:history="1">
        <w:r w:rsidR="009C6919" w:rsidRPr="003914AD">
          <w:rPr>
            <w:rStyle w:val="Hyperlink"/>
            <w:color w:val="auto"/>
            <w:u w:val="none"/>
            <w:rtl/>
          </w:rPr>
          <w:t>רע"א 5337/17</w:t>
        </w:r>
      </w:hyperlink>
      <w:r w:rsidR="009C6919" w:rsidRPr="00B0562A">
        <w:rPr>
          <w:rtl/>
        </w:rPr>
        <w:t xml:space="preserve"> </w:t>
      </w:r>
      <w:r w:rsidR="009C6919" w:rsidRPr="003914AD">
        <w:rPr>
          <w:rFonts w:hint="cs"/>
          <w:b/>
          <w:bCs/>
          <w:rtl/>
        </w:rPr>
        <w:t>כץ נ' כץ</w:t>
      </w:r>
      <w:r w:rsidR="009C6919" w:rsidRPr="00B0562A">
        <w:rPr>
          <w:rFonts w:hint="cs"/>
          <w:rtl/>
        </w:rPr>
        <w:t xml:space="preserve"> (פורסם בנבו, 31.7.17) בפסקה 33].</w:t>
      </w:r>
    </w:p>
    <w:p w:rsidR="00E445B1" w:rsidRDefault="00E445B1" w:rsidP="000D5D87">
      <w:pPr>
        <w:pStyle w:val="ae"/>
        <w:spacing w:line="360" w:lineRule="auto"/>
        <w:jc w:val="both"/>
        <w:rPr>
          <w:rFonts w:ascii="Arial" w:hAnsi="Arial"/>
          <w:noProof w:val="0"/>
        </w:rPr>
      </w:pPr>
    </w:p>
    <w:p w:rsidR="00A72BE3" w:rsidRPr="0018192D" w:rsidRDefault="006A2FD4" w:rsidP="000D5D87">
      <w:pPr>
        <w:pStyle w:val="ae"/>
        <w:numPr>
          <w:ilvl w:val="0"/>
          <w:numId w:val="1"/>
        </w:numPr>
        <w:tabs>
          <w:tab w:val="left" w:pos="288"/>
          <w:tab w:val="left" w:pos="720"/>
          <w:tab w:val="left" w:pos="1296"/>
        </w:tabs>
        <w:autoSpaceDE w:val="0"/>
        <w:autoSpaceDN w:val="0"/>
        <w:adjustRightInd w:val="0"/>
        <w:spacing w:line="360" w:lineRule="auto"/>
        <w:jc w:val="both"/>
        <w:rPr>
          <w:rFonts w:ascii="Arial" w:hAnsi="Arial"/>
          <w:noProof w:val="0"/>
          <w:rtl/>
        </w:rPr>
      </w:pPr>
      <w:r w:rsidRPr="00895528">
        <w:rPr>
          <w:rFonts w:ascii="David" w:hAnsi="David"/>
          <w:rtl/>
        </w:rPr>
        <w:t xml:space="preserve">טעם נוסף מצדיק לטעמי </w:t>
      </w:r>
      <w:r w:rsidR="0038292B">
        <w:rPr>
          <w:rFonts w:ascii="David" w:hAnsi="David" w:hint="cs"/>
          <w:rtl/>
        </w:rPr>
        <w:t>לדחות את</w:t>
      </w:r>
      <w:r w:rsidRPr="00895528">
        <w:rPr>
          <w:rFonts w:ascii="David" w:hAnsi="David"/>
          <w:rtl/>
        </w:rPr>
        <w:t xml:space="preserve"> הטענה לקיומו של השתק המונע מהמשיב את הגשת התביעה</w:t>
      </w:r>
      <w:r w:rsidR="0038292B">
        <w:rPr>
          <w:rFonts w:ascii="David" w:hAnsi="David" w:hint="cs"/>
          <w:rtl/>
        </w:rPr>
        <w:t xml:space="preserve"> בגין נזקים שנגרמו לו בעקבות הפר</w:t>
      </w:r>
      <w:r w:rsidR="00A85FFA">
        <w:rPr>
          <w:rFonts w:ascii="David" w:hAnsi="David" w:hint="cs"/>
          <w:rtl/>
        </w:rPr>
        <w:t>ת ההסכם</w:t>
      </w:r>
      <w:r w:rsidRPr="00895528">
        <w:rPr>
          <w:rFonts w:ascii="David" w:hAnsi="David"/>
          <w:rtl/>
        </w:rPr>
        <w:t xml:space="preserve">. </w:t>
      </w:r>
      <w:r w:rsidR="00A85FFA">
        <w:rPr>
          <w:rFonts w:ascii="David" w:hAnsi="David" w:hint="cs"/>
          <w:rtl/>
        </w:rPr>
        <w:t xml:space="preserve">כנזכר לעיל, </w:t>
      </w:r>
      <w:r w:rsidR="00A85FFA">
        <w:rPr>
          <w:rFonts w:ascii="David" w:hAnsi="David"/>
          <w:rtl/>
        </w:rPr>
        <w:t>ככלל</w:t>
      </w:r>
      <w:r w:rsidR="00A85FFA">
        <w:rPr>
          <w:rFonts w:ascii="David" w:hAnsi="David" w:hint="cs"/>
          <w:rtl/>
        </w:rPr>
        <w:t xml:space="preserve"> </w:t>
      </w:r>
      <w:r w:rsidRPr="00895528">
        <w:rPr>
          <w:rFonts w:ascii="David" w:hAnsi="David"/>
          <w:rtl/>
        </w:rPr>
        <w:t>האינטרס הציבורי מחייב</w:t>
      </w:r>
      <w:r w:rsidR="00A85FFA">
        <w:rPr>
          <w:rFonts w:ascii="David" w:hAnsi="David" w:hint="cs"/>
          <w:rtl/>
        </w:rPr>
        <w:t xml:space="preserve"> את</w:t>
      </w:r>
      <w:r w:rsidRPr="00895528">
        <w:rPr>
          <w:rFonts w:ascii="David" w:hAnsi="David"/>
          <w:rtl/>
        </w:rPr>
        <w:t xml:space="preserve"> ריכוז כל ההליכים הנובעים מאותה עילה כדי לא להטריד את היריב ולא להעסיק את בתי המשפט בהתדיינויות כפולות ומכופלות. </w:t>
      </w:r>
      <w:r w:rsidR="00A85FFA">
        <w:rPr>
          <w:rFonts w:ascii="David" w:hAnsi="David" w:hint="cs"/>
          <w:rtl/>
        </w:rPr>
        <w:t>עם זאת,</w:t>
      </w:r>
      <w:r w:rsidRPr="00895528">
        <w:rPr>
          <w:rFonts w:ascii="David" w:hAnsi="David"/>
          <w:rtl/>
        </w:rPr>
        <w:t xml:space="preserve"> ייתכנו מקרים ראויים שיצדיקו סטייה מהכלל</w:t>
      </w:r>
      <w:r w:rsidRPr="00895528">
        <w:rPr>
          <w:rFonts w:ascii="David" w:hAnsi="David"/>
        </w:rPr>
        <w:t>.</w:t>
      </w:r>
      <w:r w:rsidR="00A72BE3" w:rsidRPr="00895528">
        <w:rPr>
          <w:rFonts w:ascii="David" w:hAnsi="David"/>
          <w:noProof w:val="0"/>
          <w:rtl/>
        </w:rPr>
        <w:t xml:space="preserve"> </w:t>
      </w:r>
      <w:r w:rsidR="00A85FFA">
        <w:rPr>
          <w:rFonts w:ascii="David" w:hAnsi="David" w:hint="cs"/>
          <w:noProof w:val="0"/>
          <w:rtl/>
        </w:rPr>
        <w:t xml:space="preserve">כך מוכן </w:t>
      </w:r>
      <w:r w:rsidR="00A72BE3" w:rsidRPr="00895528">
        <w:rPr>
          <w:rFonts w:ascii="David" w:hAnsi="David"/>
          <w:noProof w:val="0"/>
          <w:rtl/>
        </w:rPr>
        <w:t xml:space="preserve">בית משפט לאפשר סטייה מכללי ההשתק </w:t>
      </w:r>
      <w:r w:rsidR="00A72BE3" w:rsidRPr="0018192D">
        <w:rPr>
          <w:rFonts w:ascii="Arial" w:hAnsi="Arial" w:hint="cs"/>
          <w:noProof w:val="0"/>
          <w:rtl/>
        </w:rPr>
        <w:t>"</w:t>
      </w:r>
      <w:r w:rsidR="00A72BE3" w:rsidRPr="0018192D">
        <w:rPr>
          <w:rFonts w:ascii="Miriam" w:hAnsi="Miriam" w:cs="Miriam"/>
          <w:b/>
          <w:bCs/>
          <w:noProof w:val="0"/>
          <w:rtl/>
        </w:rPr>
        <w:t>מטעמים של צדק, המחייבים להביא בחשבון את התנהגותו של בעל הדין שכנגד (הנתבע במקרה זה) וכן את נסיבות ההתדיינות השנייה</w:t>
      </w:r>
      <w:r w:rsidR="00A72BE3" w:rsidRPr="0018192D">
        <w:rPr>
          <w:rFonts w:ascii="Arial" w:hAnsi="Arial" w:hint="cs"/>
          <w:noProof w:val="0"/>
          <w:rtl/>
        </w:rPr>
        <w:t>" [</w:t>
      </w:r>
      <w:r w:rsidR="00A72BE3" w:rsidRPr="0018192D">
        <w:rPr>
          <w:rFonts w:ascii="Arial" w:hAnsi="Arial" w:hint="cs"/>
          <w:b/>
          <w:bCs/>
          <w:noProof w:val="0"/>
          <w:rtl/>
        </w:rPr>
        <w:t>זלצמן</w:t>
      </w:r>
      <w:r w:rsidR="00A72BE3" w:rsidRPr="0018192D">
        <w:rPr>
          <w:rFonts w:ascii="Arial" w:hAnsi="Arial" w:hint="cs"/>
          <w:noProof w:val="0"/>
          <w:rtl/>
        </w:rPr>
        <w:t>, 34].</w:t>
      </w:r>
    </w:p>
    <w:p w:rsidR="00A85FFA" w:rsidRDefault="00A85FFA" w:rsidP="000D5D87">
      <w:pPr>
        <w:spacing w:line="360" w:lineRule="auto"/>
        <w:ind w:left="720"/>
        <w:jc w:val="both"/>
        <w:rPr>
          <w:rFonts w:ascii="Arial" w:hAnsi="Arial"/>
          <w:noProof w:val="0"/>
          <w:rtl/>
        </w:rPr>
      </w:pPr>
      <w:r>
        <w:rPr>
          <w:rFonts w:ascii="Arial" w:hAnsi="Arial" w:hint="cs"/>
          <w:noProof w:val="0"/>
          <w:rtl/>
        </w:rPr>
        <w:t>בענייננו בהליך הקודם</w:t>
      </w:r>
      <w:r w:rsidR="00A72BE3" w:rsidRPr="00A72BE3">
        <w:rPr>
          <w:rFonts w:ascii="Arial" w:hAnsi="Arial" w:hint="cs"/>
          <w:noProof w:val="0"/>
          <w:rtl/>
        </w:rPr>
        <w:t xml:space="preserve"> נמנעה המבקשת מלהעלות את הטענה שלמשיב חוב כספי כלפיה בגין אי תשלום דמי השכירות (במסגרת כתב ההגנה או במסגרת תביעה שכנגד), אלא טענה </w:t>
      </w:r>
      <w:r w:rsidR="0058047A" w:rsidRPr="006309C4">
        <w:rPr>
          <w:rFonts w:ascii="Arial" w:hAnsi="Arial" w:hint="cs"/>
          <w:noProof w:val="0"/>
          <w:rtl/>
        </w:rPr>
        <w:t>שלא נגרם ל</w:t>
      </w:r>
      <w:r>
        <w:rPr>
          <w:rFonts w:ascii="Arial" w:hAnsi="Arial" w:hint="cs"/>
          <w:noProof w:val="0"/>
          <w:rtl/>
        </w:rPr>
        <w:t>משיב</w:t>
      </w:r>
      <w:r w:rsidR="0058047A" w:rsidRPr="006309C4">
        <w:rPr>
          <w:rFonts w:ascii="Arial" w:hAnsi="Arial" w:hint="cs"/>
          <w:noProof w:val="0"/>
          <w:rtl/>
        </w:rPr>
        <w:t xml:space="preserve"> נזק כספי </w:t>
      </w:r>
      <w:r w:rsidR="0058047A">
        <w:rPr>
          <w:rFonts w:ascii="Arial" w:hAnsi="Arial" w:hint="cs"/>
          <w:noProof w:val="0"/>
          <w:rtl/>
        </w:rPr>
        <w:t>בעקבות אי מכירת הבית (הפרת ההסכם</w:t>
      </w:r>
      <w:r>
        <w:rPr>
          <w:rFonts w:ascii="Arial" w:hAnsi="Arial" w:hint="cs"/>
          <w:noProof w:val="0"/>
          <w:rtl/>
        </w:rPr>
        <w:t xml:space="preserve"> על ידיה</w:t>
      </w:r>
      <w:r w:rsidR="0058047A">
        <w:rPr>
          <w:rFonts w:ascii="Arial" w:hAnsi="Arial" w:hint="cs"/>
          <w:noProof w:val="0"/>
          <w:rtl/>
        </w:rPr>
        <w:t>) בין היתר בשל</w:t>
      </w:r>
      <w:r>
        <w:rPr>
          <w:rFonts w:ascii="Arial" w:hAnsi="Arial" w:hint="cs"/>
          <w:noProof w:val="0"/>
          <w:rtl/>
        </w:rPr>
        <w:t xml:space="preserve"> העובדה שהוא הפסיק לשלם לה דמי שכירות בעד השימוש שהוא עושה בבית</w:t>
      </w:r>
      <w:r w:rsidR="0058047A">
        <w:rPr>
          <w:rFonts w:ascii="David" w:hAnsi="David"/>
          <w:color w:val="000000" w:themeColor="text1"/>
          <w:rtl/>
        </w:rPr>
        <w:t xml:space="preserve"> </w:t>
      </w:r>
      <w:r w:rsidR="0058047A" w:rsidRPr="006309C4">
        <w:rPr>
          <w:rFonts w:ascii="Arial" w:hAnsi="Arial" w:hint="cs"/>
          <w:noProof w:val="0"/>
          <w:rtl/>
        </w:rPr>
        <w:t>(</w:t>
      </w:r>
      <w:r w:rsidR="0058047A">
        <w:rPr>
          <w:rFonts w:ascii="Arial" w:hAnsi="Arial" w:hint="cs"/>
          <w:noProof w:val="0"/>
          <w:rtl/>
        </w:rPr>
        <w:t>סעיף 6 לפסק הדין</w:t>
      </w:r>
      <w:r w:rsidR="0058047A" w:rsidRPr="006309C4">
        <w:rPr>
          <w:rFonts w:ascii="Arial" w:hAnsi="Arial" w:hint="cs"/>
          <w:noProof w:val="0"/>
          <w:rtl/>
        </w:rPr>
        <w:t>).</w:t>
      </w:r>
      <w:r w:rsidR="00A72BE3" w:rsidRPr="00A72BE3">
        <w:rPr>
          <w:rFonts w:ascii="Arial" w:hAnsi="Arial" w:hint="cs"/>
          <w:noProof w:val="0"/>
          <w:rtl/>
        </w:rPr>
        <w:t xml:space="preserve"> לאחר שנדחתה בפסק הדין התביעה הכספית שהגיש המשיב עתרה כנגדו המבקשת בתביעה כספית לתשלום דמי שימוש באותן טענות שהעלתה בהליך הקודם כטענות הגנה. </w:t>
      </w:r>
    </w:p>
    <w:p w:rsidR="00DC1D10" w:rsidRDefault="00A72BE3" w:rsidP="000D5D87">
      <w:pPr>
        <w:spacing w:line="360" w:lineRule="auto"/>
        <w:ind w:left="720"/>
        <w:jc w:val="both"/>
        <w:rPr>
          <w:rFonts w:ascii="Arial" w:hAnsi="Arial"/>
          <w:noProof w:val="0"/>
          <w:rtl/>
        </w:rPr>
      </w:pPr>
      <w:r w:rsidRPr="00A72BE3">
        <w:rPr>
          <w:rFonts w:ascii="Arial" w:hAnsi="Arial" w:hint="cs"/>
          <w:noProof w:val="0"/>
          <w:rtl/>
        </w:rPr>
        <w:t>בהעדר הוראה בדין הכופה על נתבע להגיש תביעה שכנגד אין אמצעי דיוני למנוע את התוצאה של כפל התדיינות באותו עניין או באותו נושא.</w:t>
      </w:r>
      <w:r w:rsidR="00DC1D10">
        <w:rPr>
          <w:rFonts w:ascii="Arial" w:hAnsi="Arial" w:hint="cs"/>
          <w:noProof w:val="0"/>
          <w:rtl/>
        </w:rPr>
        <w:t xml:space="preserve"> </w:t>
      </w:r>
      <w:r w:rsidR="00A85FFA">
        <w:rPr>
          <w:rFonts w:ascii="Arial" w:hAnsi="Arial" w:hint="cs"/>
          <w:noProof w:val="0"/>
          <w:rtl/>
        </w:rPr>
        <w:t>אך בנסיבות כאלו ניתן לומר</w:t>
      </w:r>
      <w:r w:rsidR="0058047A">
        <w:rPr>
          <w:rFonts w:ascii="Arial" w:hAnsi="Arial" w:hint="cs"/>
          <w:noProof w:val="0"/>
          <w:rtl/>
        </w:rPr>
        <w:t xml:space="preserve"> </w:t>
      </w:r>
      <w:r w:rsidR="00A85FFA">
        <w:rPr>
          <w:rFonts w:ascii="Arial" w:hAnsi="Arial" w:hint="cs"/>
          <w:noProof w:val="0"/>
          <w:rtl/>
        </w:rPr>
        <w:t xml:space="preserve">שנחלש במידה רבה </w:t>
      </w:r>
      <w:r w:rsidR="00DC1D10">
        <w:rPr>
          <w:rFonts w:ascii="Arial" w:hAnsi="Arial" w:hint="cs"/>
          <w:noProof w:val="0"/>
          <w:rtl/>
        </w:rPr>
        <w:t xml:space="preserve">האינטרס של </w:t>
      </w:r>
      <w:r w:rsidR="00A85FFA">
        <w:rPr>
          <w:rFonts w:ascii="Arial" w:hAnsi="Arial" w:hint="cs"/>
          <w:noProof w:val="0"/>
          <w:rtl/>
        </w:rPr>
        <w:t>המבקשת</w:t>
      </w:r>
      <w:r w:rsidR="00DC1D10">
        <w:rPr>
          <w:rFonts w:ascii="Arial" w:hAnsi="Arial" w:hint="cs"/>
          <w:noProof w:val="0"/>
          <w:rtl/>
        </w:rPr>
        <w:t xml:space="preserve"> שלא תהייה נטרד</w:t>
      </w:r>
      <w:r w:rsidR="00511AEE">
        <w:rPr>
          <w:rFonts w:ascii="Arial" w:hAnsi="Arial" w:hint="cs"/>
          <w:noProof w:val="0"/>
          <w:rtl/>
        </w:rPr>
        <w:t>ת</w:t>
      </w:r>
      <w:r w:rsidR="00DC1D10">
        <w:rPr>
          <w:rFonts w:ascii="Arial" w:hAnsi="Arial" w:hint="cs"/>
          <w:noProof w:val="0"/>
          <w:rtl/>
        </w:rPr>
        <w:t xml:space="preserve"> שוב בגין אותה עילה שהוכרעה</w:t>
      </w:r>
      <w:r w:rsidR="00A85FFA">
        <w:rPr>
          <w:rFonts w:ascii="Arial" w:hAnsi="Arial" w:hint="cs"/>
          <w:noProof w:val="0"/>
          <w:rtl/>
        </w:rPr>
        <w:t>, כטעם המצדיק את קיומו של ההשתק</w:t>
      </w:r>
      <w:r w:rsidR="00511AEE">
        <w:rPr>
          <w:rFonts w:ascii="Arial" w:hAnsi="Arial" w:hint="cs"/>
          <w:noProof w:val="0"/>
          <w:rtl/>
        </w:rPr>
        <w:t xml:space="preserve"> שעה שהיא יזמה את ההליכים בתביעה שהגישה לתשלום דמי השימוש וטענת ההגנה ששימשה אותה בהליך הקודם משמשת אותה כעת כעילת תביעה.</w:t>
      </w:r>
    </w:p>
    <w:p w:rsidR="00511AEE" w:rsidRDefault="0058047A" w:rsidP="000D5D87">
      <w:pPr>
        <w:pStyle w:val="ae"/>
        <w:spacing w:line="360" w:lineRule="auto"/>
        <w:jc w:val="both"/>
        <w:rPr>
          <w:rFonts w:ascii="Arial" w:hAnsi="Arial"/>
          <w:noProof w:val="0"/>
          <w:rtl/>
        </w:rPr>
      </w:pPr>
      <w:r w:rsidRPr="006309C4">
        <w:rPr>
          <w:rFonts w:ascii="Arial" w:hAnsi="Arial" w:hint="cs"/>
          <w:noProof w:val="0"/>
          <w:rtl/>
        </w:rPr>
        <w:t xml:space="preserve">הגשת תביעה באותה טענה שנטענה כטענת הגנה מפני נזק שנגרם למשיב בגין הפרת ההסכם על ידיה פותחת </w:t>
      </w:r>
      <w:r w:rsidR="00511AEE">
        <w:rPr>
          <w:rFonts w:ascii="Arial" w:hAnsi="Arial" w:hint="cs"/>
          <w:noProof w:val="0"/>
          <w:rtl/>
        </w:rPr>
        <w:t xml:space="preserve">למעשה </w:t>
      </w:r>
      <w:r w:rsidRPr="006309C4">
        <w:rPr>
          <w:rFonts w:ascii="Arial" w:hAnsi="Arial" w:hint="cs"/>
          <w:noProof w:val="0"/>
          <w:rtl/>
        </w:rPr>
        <w:t>את הפתח לדון באותן פלוגתאות התדיינות חוזרת</w:t>
      </w:r>
      <w:r>
        <w:rPr>
          <w:rFonts w:ascii="Arial" w:hAnsi="Arial" w:hint="cs"/>
          <w:noProof w:val="0"/>
          <w:rtl/>
        </w:rPr>
        <w:t xml:space="preserve">. </w:t>
      </w:r>
    </w:p>
    <w:p w:rsidR="00511AEE" w:rsidRDefault="00511AEE" w:rsidP="003369D2">
      <w:pPr>
        <w:pStyle w:val="ae"/>
        <w:spacing w:line="360" w:lineRule="auto"/>
        <w:jc w:val="both"/>
        <w:rPr>
          <w:rFonts w:ascii="Arial" w:hAnsi="Arial"/>
          <w:noProof w:val="0"/>
          <w:rtl/>
        </w:rPr>
      </w:pPr>
      <w:r>
        <w:rPr>
          <w:rFonts w:ascii="Arial" w:hAnsi="Arial" w:hint="cs"/>
          <w:noProof w:val="0"/>
          <w:rtl/>
        </w:rPr>
        <w:t>בנסיבות אלו</w:t>
      </w:r>
      <w:r w:rsidR="0058047A">
        <w:rPr>
          <w:rFonts w:ascii="Arial" w:hAnsi="Arial" w:hint="cs"/>
          <w:noProof w:val="0"/>
          <w:rtl/>
        </w:rPr>
        <w:t xml:space="preserve"> ספק אם עומד הטעם בהחלת </w:t>
      </w:r>
      <w:r w:rsidR="003369D2">
        <w:rPr>
          <w:rFonts w:ascii="Arial" w:hAnsi="Arial" w:hint="cs"/>
          <w:noProof w:val="0"/>
          <w:rtl/>
        </w:rPr>
        <w:t xml:space="preserve">כללי ההשתק שנועדו </w:t>
      </w:r>
      <w:r w:rsidR="0058047A">
        <w:rPr>
          <w:rFonts w:ascii="Arial" w:hAnsi="Arial" w:hint="cs"/>
          <w:noProof w:val="0"/>
          <w:rtl/>
        </w:rPr>
        <w:t xml:space="preserve">למניעת הטרדה נוספת באותו עניין שכן חלקה של המבקשת בהטרדה זו מכריע, </w:t>
      </w:r>
      <w:r w:rsidR="003369D2">
        <w:rPr>
          <w:rFonts w:ascii="Arial" w:hAnsi="Arial" w:hint="cs"/>
          <w:noProof w:val="0"/>
          <w:rtl/>
        </w:rPr>
        <w:t>ויש מי שיאמר ש</w:t>
      </w:r>
      <w:r w:rsidR="0058047A">
        <w:rPr>
          <w:rFonts w:ascii="Arial" w:hAnsi="Arial" w:hint="cs"/>
          <w:noProof w:val="0"/>
          <w:rtl/>
        </w:rPr>
        <w:t>יתכן שניתן לראות בה אף כוויתור על טענת ההשתק</w:t>
      </w:r>
      <w:r w:rsidR="0058047A" w:rsidRPr="006309C4">
        <w:rPr>
          <w:rFonts w:ascii="Arial" w:hAnsi="Arial" w:hint="cs"/>
          <w:noProof w:val="0"/>
          <w:rtl/>
        </w:rPr>
        <w:t>.</w:t>
      </w:r>
      <w:r w:rsidR="0058047A">
        <w:rPr>
          <w:rFonts w:ascii="Arial" w:hAnsi="Arial" w:hint="cs"/>
          <w:noProof w:val="0"/>
          <w:rtl/>
        </w:rPr>
        <w:t xml:space="preserve"> </w:t>
      </w:r>
    </w:p>
    <w:p w:rsidR="0058047A" w:rsidRPr="006309C4" w:rsidRDefault="00511AEE" w:rsidP="000D5D87">
      <w:pPr>
        <w:pStyle w:val="ae"/>
        <w:spacing w:line="360" w:lineRule="auto"/>
        <w:jc w:val="both"/>
        <w:rPr>
          <w:rFonts w:ascii="Arial" w:hAnsi="Arial"/>
          <w:noProof w:val="0"/>
        </w:rPr>
      </w:pPr>
      <w:r>
        <w:rPr>
          <w:rFonts w:ascii="Arial" w:hAnsi="Arial" w:hint="cs"/>
          <w:noProof w:val="0"/>
          <w:rtl/>
        </w:rPr>
        <w:lastRenderedPageBreak/>
        <w:t xml:space="preserve">מכל מקום, </w:t>
      </w:r>
      <w:r w:rsidR="0058047A" w:rsidRPr="006309C4">
        <w:rPr>
          <w:rFonts w:ascii="Arial" w:hAnsi="Arial" w:hint="cs"/>
          <w:noProof w:val="0"/>
          <w:rtl/>
        </w:rPr>
        <w:t xml:space="preserve">קבלת טענת ההשתק כלפי המשיב לעתור בתובענה לפיצוי בגין הנזק שנגרם לו בעקבות הפרת ההסכם על ידי המשיבה עת עתרה המשיבה בעצמה לחיוב המבקש בתשלום דמי שימוש </w:t>
      </w:r>
      <w:r w:rsidR="0058047A" w:rsidRPr="006309C4">
        <w:rPr>
          <w:rFonts w:ascii="Arial" w:hAnsi="Arial"/>
          <w:noProof w:val="0"/>
          <w:rtl/>
        </w:rPr>
        <w:t>–</w:t>
      </w:r>
      <w:r w:rsidR="0058047A" w:rsidRPr="006309C4">
        <w:rPr>
          <w:rFonts w:ascii="Arial" w:hAnsi="Arial" w:hint="cs"/>
          <w:noProof w:val="0"/>
          <w:rtl/>
        </w:rPr>
        <w:t xml:space="preserve"> על אף שטענה זו שימשה אותה בהגנה מפני התביעה הקודמת </w:t>
      </w:r>
      <w:r w:rsidR="0058047A" w:rsidRPr="006309C4">
        <w:rPr>
          <w:rFonts w:ascii="Arial" w:hAnsi="Arial"/>
          <w:noProof w:val="0"/>
          <w:rtl/>
        </w:rPr>
        <w:t>–</w:t>
      </w:r>
      <w:r w:rsidR="0058047A" w:rsidRPr="006309C4">
        <w:rPr>
          <w:rFonts w:ascii="Arial" w:hAnsi="Arial" w:hint="cs"/>
          <w:noProof w:val="0"/>
          <w:rtl/>
        </w:rPr>
        <w:t xml:space="preserve"> פוגמת ברעיון השוויון בין בעלי דין בהתדיינות</w:t>
      </w:r>
      <w:r w:rsidR="0058047A">
        <w:rPr>
          <w:rFonts w:ascii="Arial" w:hAnsi="Arial" w:hint="cs"/>
          <w:noProof w:val="0"/>
          <w:rtl/>
        </w:rPr>
        <w:t>, וכי לא יהיה זה צודק בנסיבות אלו למנוע מהמשיב להוכיח את טענותיו, וכי טעמים של צדק מחייבים הפעלה גמישה של הכלל.</w:t>
      </w:r>
    </w:p>
    <w:p w:rsidR="0058047A" w:rsidRDefault="0058047A" w:rsidP="000D5D87">
      <w:pPr>
        <w:pStyle w:val="ae"/>
        <w:spacing w:line="360" w:lineRule="auto"/>
        <w:jc w:val="both"/>
        <w:rPr>
          <w:rFonts w:ascii="Arial" w:hAnsi="Arial"/>
          <w:noProof w:val="0"/>
        </w:rPr>
      </w:pPr>
    </w:p>
    <w:p w:rsidR="0058047A" w:rsidRDefault="0058047A" w:rsidP="00523F2F">
      <w:pPr>
        <w:pStyle w:val="ae"/>
        <w:numPr>
          <w:ilvl w:val="0"/>
          <w:numId w:val="1"/>
        </w:numPr>
        <w:spacing w:line="360" w:lineRule="auto"/>
        <w:jc w:val="both"/>
        <w:rPr>
          <w:rFonts w:ascii="Arial" w:hAnsi="Arial"/>
          <w:noProof w:val="0"/>
        </w:rPr>
      </w:pPr>
      <w:r>
        <w:rPr>
          <w:rFonts w:ascii="Arial" w:hAnsi="Arial" w:hint="cs"/>
          <w:noProof w:val="0"/>
          <w:rtl/>
        </w:rPr>
        <w:t xml:space="preserve">אשר לסעד הפיצוי המוסכם הקבוע בהסכם יאמר שאמנם על פני הדברים לא הייתה מניעה מהמשיב לעתור לסעד זה כבר במסגרת ההליך הקודם, ואולם המבקשת עתרה </w:t>
      </w:r>
      <w:r w:rsidR="00511AEE">
        <w:rPr>
          <w:rFonts w:ascii="Arial" w:hAnsi="Arial" w:hint="cs"/>
          <w:noProof w:val="0"/>
          <w:rtl/>
        </w:rPr>
        <w:t xml:space="preserve">בעצמה </w:t>
      </w:r>
      <w:r>
        <w:rPr>
          <w:rFonts w:ascii="Arial" w:hAnsi="Arial" w:hint="cs"/>
          <w:noProof w:val="0"/>
          <w:rtl/>
        </w:rPr>
        <w:t>בתביעה שכנגד בה ביקשה לחייב את המשיב בפיצוי המוסכם ופשיטא שגם גבי דידה לא מקים פסק הדין השתק מלתבוע סעד זה</w:t>
      </w:r>
      <w:r w:rsidR="00523F2F">
        <w:rPr>
          <w:rFonts w:ascii="Arial" w:hAnsi="Arial" w:hint="cs"/>
          <w:noProof w:val="0"/>
          <w:rtl/>
        </w:rPr>
        <w:t xml:space="preserve"> כעת</w:t>
      </w:r>
      <w:r>
        <w:rPr>
          <w:rFonts w:ascii="Arial" w:hAnsi="Arial" w:hint="cs"/>
          <w:noProof w:val="0"/>
          <w:rtl/>
        </w:rPr>
        <w:t>.</w:t>
      </w:r>
    </w:p>
    <w:p w:rsidR="00523F2F" w:rsidRDefault="00523F2F" w:rsidP="00523F2F">
      <w:pPr>
        <w:pStyle w:val="ae"/>
        <w:spacing w:line="360" w:lineRule="auto"/>
        <w:jc w:val="both"/>
        <w:rPr>
          <w:rFonts w:ascii="Arial" w:hAnsi="Arial"/>
          <w:noProof w:val="0"/>
        </w:rPr>
      </w:pPr>
    </w:p>
    <w:p w:rsidR="0058047A" w:rsidRDefault="0058047A" w:rsidP="00523F2F">
      <w:pPr>
        <w:pStyle w:val="ae"/>
        <w:numPr>
          <w:ilvl w:val="0"/>
          <w:numId w:val="1"/>
        </w:numPr>
        <w:spacing w:line="360" w:lineRule="auto"/>
        <w:jc w:val="both"/>
        <w:rPr>
          <w:rFonts w:ascii="Arial" w:hAnsi="Arial"/>
          <w:noProof w:val="0"/>
        </w:rPr>
      </w:pPr>
      <w:r>
        <w:rPr>
          <w:rFonts w:ascii="Arial" w:hAnsi="Arial" w:hint="cs"/>
          <w:noProof w:val="0"/>
          <w:rtl/>
        </w:rPr>
        <w:t>המבקשת בעצמה עתרה גם לחיוב המ</w:t>
      </w:r>
      <w:r w:rsidR="00523F2F">
        <w:rPr>
          <w:rFonts w:ascii="Arial" w:hAnsi="Arial" w:hint="cs"/>
          <w:noProof w:val="0"/>
          <w:rtl/>
        </w:rPr>
        <w:t>שיב</w:t>
      </w:r>
      <w:r>
        <w:rPr>
          <w:rFonts w:ascii="Arial" w:hAnsi="Arial" w:hint="cs"/>
          <w:noProof w:val="0"/>
          <w:rtl/>
        </w:rPr>
        <w:t xml:space="preserve"> בעלות כונס הנכסים (הגם שלא כימתה סעד זה ולא פרעה בגינו את האגרה</w:t>
      </w:r>
      <w:r w:rsidR="0030758F">
        <w:rPr>
          <w:rFonts w:ascii="Arial" w:hAnsi="Arial" w:hint="cs"/>
          <w:noProof w:val="0"/>
          <w:rtl/>
        </w:rPr>
        <w:t xml:space="preserve"> ולפיכך לא יזקק לו בית המשפט בהתאם להוראת </w:t>
      </w:r>
      <w:r w:rsidR="0030758F">
        <w:rPr>
          <w:rFonts w:ascii="David" w:hAnsi="David"/>
          <w:rtl/>
        </w:rPr>
        <w:t xml:space="preserve">תקנה 2 </w:t>
      </w:r>
      <w:r w:rsidR="0030758F">
        <w:rPr>
          <w:rFonts w:ascii="David" w:hAnsi="David" w:hint="cs"/>
          <w:rtl/>
        </w:rPr>
        <w:t xml:space="preserve">(א) </w:t>
      </w:r>
      <w:r w:rsidR="0030758F">
        <w:rPr>
          <w:rFonts w:ascii="David" w:hAnsi="David"/>
          <w:rtl/>
        </w:rPr>
        <w:t xml:space="preserve">לתקנות </w:t>
      </w:r>
      <w:r w:rsidR="0030758F" w:rsidRPr="002543F3">
        <w:rPr>
          <w:rFonts w:ascii="David" w:hAnsi="David"/>
          <w:b/>
          <w:bCs/>
          <w:rtl/>
        </w:rPr>
        <w:t>בית המשפט לענייני משפחה (אגרות)</w:t>
      </w:r>
      <w:r w:rsidR="0030758F">
        <w:rPr>
          <w:rFonts w:ascii="David" w:hAnsi="David"/>
          <w:rtl/>
        </w:rPr>
        <w:t xml:space="preserve"> התשנ"ו</w:t>
      </w:r>
      <w:r w:rsidR="0030758F">
        <w:rPr>
          <w:rFonts w:ascii="David" w:hAnsi="David" w:hint="cs"/>
          <w:rtl/>
        </w:rPr>
        <w:t>-</w:t>
      </w:r>
      <w:r w:rsidR="0030758F">
        <w:rPr>
          <w:rFonts w:ascii="David" w:hAnsi="David"/>
          <w:rtl/>
        </w:rPr>
        <w:t>1996</w:t>
      </w:r>
      <w:r w:rsidR="0030758F">
        <w:rPr>
          <w:rFonts w:ascii="Arial" w:hAnsi="Arial" w:hint="cs"/>
          <w:noProof w:val="0"/>
          <w:rtl/>
        </w:rPr>
        <w:t>)</w:t>
      </w:r>
      <w:r w:rsidR="00AE75A6">
        <w:rPr>
          <w:rFonts w:ascii="Arial" w:hAnsi="Arial" w:hint="cs"/>
          <w:noProof w:val="0"/>
          <w:rtl/>
        </w:rPr>
        <w:t xml:space="preserve">. </w:t>
      </w:r>
      <w:r>
        <w:rPr>
          <w:rFonts w:ascii="Arial" w:hAnsi="Arial" w:hint="cs"/>
          <w:noProof w:val="0"/>
          <w:rtl/>
        </w:rPr>
        <w:t>מכאן שגם גבי דידה ביחס לרכיב זה, שכומת על ידי המשיב בסך של 100,000 ₪, בוודאי לא חל מעשה בי-דין.</w:t>
      </w:r>
    </w:p>
    <w:p w:rsidR="00511AEE" w:rsidRPr="00AE75A6" w:rsidRDefault="00511AEE" w:rsidP="000D5D87">
      <w:pPr>
        <w:pStyle w:val="ae"/>
        <w:spacing w:line="360" w:lineRule="auto"/>
        <w:rPr>
          <w:rFonts w:ascii="Arial" w:hAnsi="Arial"/>
          <w:noProof w:val="0"/>
          <w:rtl/>
        </w:rPr>
      </w:pPr>
    </w:p>
    <w:p w:rsidR="00E92A41" w:rsidRDefault="00A72BE3" w:rsidP="000D5D87">
      <w:pPr>
        <w:pStyle w:val="ae"/>
        <w:numPr>
          <w:ilvl w:val="0"/>
          <w:numId w:val="1"/>
        </w:numPr>
        <w:spacing w:line="360" w:lineRule="auto"/>
        <w:jc w:val="both"/>
        <w:rPr>
          <w:rFonts w:ascii="Arial" w:hAnsi="Arial"/>
          <w:noProof w:val="0"/>
        </w:rPr>
      </w:pPr>
      <w:r w:rsidRPr="0018192D">
        <w:rPr>
          <w:rFonts w:ascii="Arial" w:hAnsi="Arial" w:hint="cs"/>
          <w:noProof w:val="0"/>
          <w:rtl/>
        </w:rPr>
        <w:t xml:space="preserve">אין בידי לקבל גם את הטענה לסילוק התביעה בהעדר עילה. </w:t>
      </w:r>
      <w:r>
        <w:rPr>
          <w:rtl/>
        </w:rPr>
        <w:t>הדיון בבקשת הסילוק על הסף אינו אמור להתייחס לאמיתות העובדות. על הצדדים לצאת מנקודת הנחה כי התובע אכן יצליח להוכיח את כל העובדות שטען להן</w:t>
      </w:r>
      <w:r w:rsidR="00E92A41">
        <w:rPr>
          <w:rFonts w:hint="cs"/>
          <w:rtl/>
        </w:rPr>
        <w:t>.</w:t>
      </w:r>
      <w:r>
        <w:rPr>
          <w:rtl/>
        </w:rPr>
        <w:t xml:space="preserve"> בשלב זה של הדיון אין מתעוררות שאלות של נטל ההוכחה או מידת ההוכחה, ודי בכך שהתובע יראה  על פני כתב התביעה כי בידו עילה [ע"א 2967/95 </w:t>
      </w:r>
      <w:r w:rsidRPr="0018192D">
        <w:rPr>
          <w:b/>
          <w:bCs/>
          <w:rtl/>
        </w:rPr>
        <w:t>מגן וקשת בע"מ נ. טמפו תעשיות בירה</w:t>
      </w:r>
      <w:r>
        <w:rPr>
          <w:rtl/>
        </w:rPr>
        <w:t xml:space="preserve">, פ"ד נא (2) 312 וכן ראו: א. גורן, </w:t>
      </w:r>
      <w:r w:rsidRPr="0018192D">
        <w:rPr>
          <w:b/>
          <w:bCs/>
          <w:rtl/>
        </w:rPr>
        <w:t>סוגיות בסדר דין אזרחי, מהדורה שביעית</w:t>
      </w:r>
      <w:r>
        <w:rPr>
          <w:rtl/>
        </w:rPr>
        <w:t>, בעמ' 137</w:t>
      </w:r>
      <w:r w:rsidR="0018192D">
        <w:rPr>
          <w:rFonts w:hint="cs"/>
          <w:rtl/>
        </w:rPr>
        <w:t>]</w:t>
      </w:r>
      <w:r>
        <w:rPr>
          <w:rtl/>
        </w:rPr>
        <w:t>.</w:t>
      </w:r>
      <w:r w:rsidR="0018192D">
        <w:rPr>
          <w:rFonts w:hint="cs"/>
          <w:rtl/>
        </w:rPr>
        <w:t xml:space="preserve"> </w:t>
      </w:r>
      <w:r w:rsidR="0018192D" w:rsidRPr="0018192D">
        <w:rPr>
          <w:rFonts w:ascii="Arial" w:hAnsi="Arial"/>
          <w:noProof w:val="0"/>
          <w:rtl/>
        </w:rPr>
        <w:t>לאור האמור ועל בסיס ההלכות המפורשות שנזכרו, ומשאין בטענות המבקשת כדי לאיין לחלוטין את האפשרות ולו הקלושה שהמשיב יזכה בתביעה, מצאתי לדחות את הבקשה</w:t>
      </w:r>
      <w:r w:rsidR="0018192D" w:rsidRPr="0018192D">
        <w:rPr>
          <w:rFonts w:ascii="Arial" w:hAnsi="Arial" w:hint="cs"/>
          <w:noProof w:val="0"/>
          <w:rtl/>
        </w:rPr>
        <w:t xml:space="preserve"> ככל שהיא נוגעת לסילוק התביעה בהעדר עילה</w:t>
      </w:r>
      <w:r w:rsidR="0018192D" w:rsidRPr="0018192D">
        <w:rPr>
          <w:rFonts w:ascii="Arial" w:hAnsi="Arial"/>
          <w:noProof w:val="0"/>
          <w:rtl/>
        </w:rPr>
        <w:t>.</w:t>
      </w:r>
      <w:r w:rsidR="0018192D">
        <w:rPr>
          <w:rFonts w:ascii="Arial" w:hAnsi="Arial" w:hint="cs"/>
          <w:noProof w:val="0"/>
          <w:rtl/>
        </w:rPr>
        <w:t xml:space="preserve"> </w:t>
      </w:r>
    </w:p>
    <w:p w:rsidR="00E92A41" w:rsidRPr="00E92A41" w:rsidRDefault="00E92A41" w:rsidP="000D5D87">
      <w:pPr>
        <w:pStyle w:val="ae"/>
        <w:spacing w:line="360" w:lineRule="auto"/>
        <w:rPr>
          <w:rFonts w:ascii="David" w:hAnsi="David"/>
          <w:noProof w:val="0"/>
          <w:rtl/>
        </w:rPr>
      </w:pPr>
    </w:p>
    <w:p w:rsidR="00E92A41" w:rsidRDefault="00E92A41" w:rsidP="000D5D87">
      <w:pPr>
        <w:pStyle w:val="ae"/>
        <w:numPr>
          <w:ilvl w:val="0"/>
          <w:numId w:val="1"/>
        </w:numPr>
        <w:shd w:val="clear" w:color="auto" w:fill="FFFFFF"/>
        <w:spacing w:line="360" w:lineRule="auto"/>
        <w:jc w:val="both"/>
        <w:rPr>
          <w:rFonts w:ascii="David" w:hAnsi="David"/>
          <w:noProof w:val="0"/>
        </w:rPr>
      </w:pPr>
      <w:r w:rsidRPr="00E92A41">
        <w:rPr>
          <w:rFonts w:ascii="David" w:hAnsi="David"/>
          <w:rtl/>
        </w:rPr>
        <w:t>למותר לציין, כי משמעות ההחלטה שלא להורות בעת הזו על סילוק התובענה כנגד המשיב על הסף, אין פירושה דחיית טענות המבקש</w:t>
      </w:r>
      <w:r>
        <w:rPr>
          <w:rFonts w:ascii="David" w:hAnsi="David" w:hint="cs"/>
          <w:rtl/>
        </w:rPr>
        <w:t>ת</w:t>
      </w:r>
      <w:r w:rsidRPr="00E92A41">
        <w:rPr>
          <w:rFonts w:ascii="David" w:hAnsi="David"/>
          <w:rtl/>
        </w:rPr>
        <w:t xml:space="preserve"> לגופן, כי אם קביעה שאין בטענות אלו בשלב זה וטרם שמיעת הראיות כדי להקים עילה לסילוק התובענה על הסף. ברי כי מכלול טענות המבקש</w:t>
      </w:r>
      <w:r>
        <w:rPr>
          <w:rFonts w:ascii="David" w:hAnsi="David" w:hint="cs"/>
          <w:rtl/>
        </w:rPr>
        <w:t>ת</w:t>
      </w:r>
      <w:r w:rsidRPr="00E92A41">
        <w:rPr>
          <w:rFonts w:ascii="David" w:hAnsi="David"/>
          <w:rtl/>
        </w:rPr>
        <w:t xml:space="preserve"> ידון לגופו בהליך העיקרי </w:t>
      </w:r>
      <w:r>
        <w:rPr>
          <w:rFonts w:ascii="David" w:hAnsi="David" w:hint="cs"/>
          <w:rtl/>
        </w:rPr>
        <w:t>[</w:t>
      </w:r>
      <w:hyperlink r:id="rId24" w:tgtFrame="blank" w:history="1">
        <w:r w:rsidRPr="00E92A41">
          <w:rPr>
            <w:rStyle w:val="Hyperlink"/>
            <w:rFonts w:ascii="David" w:hAnsi="David"/>
            <w:color w:val="auto"/>
            <w:u w:val="none"/>
            <w:rtl/>
          </w:rPr>
          <w:t>רע"א 7585/12</w:t>
        </w:r>
      </w:hyperlink>
      <w:r w:rsidRPr="00E92A41">
        <w:rPr>
          <w:rFonts w:ascii="David" w:hAnsi="David"/>
          <w:rtl/>
        </w:rPr>
        <w:t> </w:t>
      </w:r>
      <w:r w:rsidRPr="00E92A41">
        <w:rPr>
          <w:rFonts w:ascii="David" w:hAnsi="David"/>
          <w:b/>
          <w:bCs/>
          <w:rtl/>
        </w:rPr>
        <w:t>סמווד קונסטרקשוין נ' הקסטודיה דה טרה סנט</w:t>
      </w:r>
      <w:r w:rsidRPr="00E92A41">
        <w:rPr>
          <w:rFonts w:ascii="David" w:hAnsi="David"/>
          <w:rtl/>
        </w:rPr>
        <w:t> (פורסם בנבו, 7.4.13), סעיף 5 סיפה).</w:t>
      </w:r>
    </w:p>
    <w:p w:rsidR="00E92A41" w:rsidRDefault="00E92A41" w:rsidP="000D5D87">
      <w:pPr>
        <w:pStyle w:val="ae"/>
        <w:spacing w:line="360" w:lineRule="auto"/>
        <w:rPr>
          <w:rFonts w:ascii="David" w:hAnsi="David"/>
          <w:noProof w:val="0"/>
          <w:rtl/>
        </w:rPr>
      </w:pPr>
    </w:p>
    <w:p w:rsidR="00523F2F" w:rsidRDefault="00523F2F" w:rsidP="000D5D87">
      <w:pPr>
        <w:pStyle w:val="ae"/>
        <w:spacing w:line="360" w:lineRule="auto"/>
        <w:rPr>
          <w:rFonts w:ascii="David" w:hAnsi="David"/>
          <w:noProof w:val="0"/>
          <w:rtl/>
        </w:rPr>
      </w:pPr>
    </w:p>
    <w:p w:rsidR="00523F2F" w:rsidRPr="00E92A41" w:rsidRDefault="00523F2F" w:rsidP="000D5D87">
      <w:pPr>
        <w:pStyle w:val="ae"/>
        <w:spacing w:line="360" w:lineRule="auto"/>
        <w:rPr>
          <w:rFonts w:ascii="David" w:hAnsi="David"/>
          <w:noProof w:val="0"/>
          <w:rtl/>
        </w:rPr>
      </w:pPr>
    </w:p>
    <w:p w:rsidR="00233DB1" w:rsidRPr="007E7BE2" w:rsidRDefault="00DA1B78" w:rsidP="00523F2F">
      <w:pPr>
        <w:pStyle w:val="ae"/>
        <w:numPr>
          <w:ilvl w:val="0"/>
          <w:numId w:val="1"/>
        </w:numPr>
        <w:spacing w:line="360" w:lineRule="auto"/>
        <w:jc w:val="both"/>
        <w:rPr>
          <w:rFonts w:ascii="Arial" w:hAnsi="Arial"/>
          <w:noProof w:val="0"/>
        </w:rPr>
      </w:pPr>
      <w:r w:rsidRPr="00A031B7">
        <w:rPr>
          <w:rtl/>
        </w:rPr>
        <w:lastRenderedPageBreak/>
        <w:t>טרם סיום אומר כי מצער שהיה עלינו להגיע עד הלום. כפי שפורט בראשית ההחלטה תחי</w:t>
      </w:r>
      <w:r w:rsidR="00752651" w:rsidRPr="00A031B7">
        <w:rPr>
          <w:rtl/>
        </w:rPr>
        <w:t>לתם של הדברים בהסכם שאושר לפני למעלה מארבע שנים, וזאת אף אם לא נביא במניין את תקופת ניהול הליכי הגישור שקדמו להסכם, וההליכים בעינם. קשה להתעלם מהאפשרות ש</w:t>
      </w:r>
      <w:r w:rsidR="00E92A41">
        <w:rPr>
          <w:rFonts w:hint="cs"/>
          <w:rtl/>
        </w:rPr>
        <w:t>לכת</w:t>
      </w:r>
      <w:r w:rsidR="00D30D90">
        <w:rPr>
          <w:rFonts w:hint="cs"/>
          <w:rtl/>
        </w:rPr>
        <w:t xml:space="preserve">חילה לא התכוון המשיב לעתור </w:t>
      </w:r>
      <w:r w:rsidR="00523F2F">
        <w:rPr>
          <w:rFonts w:hint="cs"/>
          <w:rtl/>
        </w:rPr>
        <w:t xml:space="preserve">שוב </w:t>
      </w:r>
      <w:r w:rsidR="00D30D90">
        <w:rPr>
          <w:rFonts w:hint="cs"/>
          <w:rtl/>
        </w:rPr>
        <w:t xml:space="preserve">לחיוב המבקשת בפיצויים, ובדיון קדה"מ הבהיר שיגיש תביעה כזו </w:t>
      </w:r>
      <w:r w:rsidR="00752651" w:rsidRPr="00A031B7">
        <w:rPr>
          <w:rtl/>
        </w:rPr>
        <w:t xml:space="preserve">בעיקר </w:t>
      </w:r>
      <w:r w:rsidR="00D30D90">
        <w:rPr>
          <w:rFonts w:hint="cs"/>
          <w:rtl/>
        </w:rPr>
        <w:t xml:space="preserve">על מנת </w:t>
      </w:r>
      <w:r w:rsidR="00752651" w:rsidRPr="00A031B7">
        <w:rPr>
          <w:rtl/>
        </w:rPr>
        <w:t>להרתיעה מהמשך ניהול התביעה הכספית לתשלום דמי השימוש</w:t>
      </w:r>
      <w:r w:rsidR="00D30D90">
        <w:rPr>
          <w:rFonts w:hint="cs"/>
          <w:rtl/>
        </w:rPr>
        <w:t xml:space="preserve"> באופן המעורר ספק אם בסופו של יום התביעה נועדה על מנת להשיג מן המבקשת פיצויים ממשיים</w:t>
      </w:r>
      <w:r w:rsidR="00752651" w:rsidRPr="00A031B7">
        <w:rPr>
          <w:rtl/>
        </w:rPr>
        <w:t xml:space="preserve">. מנגד, המבקשת מצדה סירבה לכל הצעת פשרה שהוצעה </w:t>
      </w:r>
      <w:r w:rsidR="00233DB1" w:rsidRPr="00A031B7">
        <w:rPr>
          <w:rtl/>
        </w:rPr>
        <w:t>לה לאורך ניהול ההליכים הקודמים</w:t>
      </w:r>
      <w:r w:rsidR="00523F2F">
        <w:rPr>
          <w:rFonts w:hint="cs"/>
          <w:rtl/>
        </w:rPr>
        <w:t>,</w:t>
      </w:r>
      <w:r w:rsidR="00D30D90">
        <w:rPr>
          <w:rFonts w:hint="cs"/>
          <w:rtl/>
        </w:rPr>
        <w:t xml:space="preserve"> בדיון קדה"מ שנערך בטרם הוגשה התביעה דכאן ו</w:t>
      </w:r>
      <w:r w:rsidR="00523F2F">
        <w:rPr>
          <w:rFonts w:hint="cs"/>
          <w:rtl/>
        </w:rPr>
        <w:t>גם</w:t>
      </w:r>
      <w:r w:rsidR="00D30D90">
        <w:rPr>
          <w:rFonts w:hint="cs"/>
          <w:rtl/>
        </w:rPr>
        <w:t xml:space="preserve"> לאחר מכן בדיון קדה"מ האחרון</w:t>
      </w:r>
      <w:r w:rsidR="00233DB1" w:rsidRPr="00A031B7">
        <w:rPr>
          <w:rtl/>
        </w:rPr>
        <w:t xml:space="preserve">. אף אם אין נחת מן ההליכים לא אוכל לראות בעמידה לגיטימית על פי דין של מי מהצדדים על זכויותיו הדיוניות שימוש לרעה בהליכי משפט. אולם דומה כי לא אנקוט בלשון חריפה יתר על המידה בצייני כי השימוש בהליכי משפט שנעשה בגדרי ההליכים הנוכחיים, אף אם אינו שימוש לרעה, יש שאלה גדולה לגבי טיב טעמו – והטעם, או היעדרו, הוא טעמם של שני הצדדים. </w:t>
      </w:r>
    </w:p>
    <w:p w:rsidR="007E7BE2" w:rsidRPr="007E7BE2" w:rsidRDefault="007E7BE2" w:rsidP="000D5D87">
      <w:pPr>
        <w:pStyle w:val="ae"/>
        <w:spacing w:line="360" w:lineRule="auto"/>
        <w:rPr>
          <w:rFonts w:ascii="Arial" w:hAnsi="Arial"/>
          <w:noProof w:val="0"/>
          <w:rtl/>
        </w:rPr>
      </w:pPr>
    </w:p>
    <w:p w:rsidR="000E1150" w:rsidRDefault="00A031B7" w:rsidP="00523F2F">
      <w:pPr>
        <w:pStyle w:val="ae"/>
        <w:numPr>
          <w:ilvl w:val="0"/>
          <w:numId w:val="1"/>
        </w:numPr>
        <w:spacing w:line="360" w:lineRule="auto"/>
        <w:jc w:val="both"/>
        <w:rPr>
          <w:rFonts w:ascii="Arial" w:hAnsi="Arial"/>
          <w:noProof w:val="0"/>
        </w:rPr>
      </w:pPr>
      <w:r w:rsidRPr="007E7BE2">
        <w:rPr>
          <w:rFonts w:ascii="Arial" w:hAnsi="Arial" w:hint="cs"/>
          <w:noProof w:val="0"/>
          <w:rtl/>
        </w:rPr>
        <w:t>סיכומו של דבר הוא שהבקשה לדחיית התביעה על הסף מפאת מעשה בית דין מתקבלת ביחס לסעד הנוגע לתלונה</w:t>
      </w:r>
      <w:r w:rsidR="007E7BE2">
        <w:rPr>
          <w:rFonts w:ascii="Arial" w:hAnsi="Arial" w:hint="cs"/>
          <w:noProof w:val="0"/>
          <w:rtl/>
        </w:rPr>
        <w:t>.</w:t>
      </w:r>
      <w:r w:rsidRPr="007E7BE2">
        <w:rPr>
          <w:rFonts w:ascii="Arial" w:hAnsi="Arial" w:hint="cs"/>
          <w:noProof w:val="0"/>
          <w:rtl/>
        </w:rPr>
        <w:t xml:space="preserve">  לפיכך אני מורה על מחיקת סעיפים </w:t>
      </w:r>
      <w:r w:rsidR="007E7BE2">
        <w:rPr>
          <w:rFonts w:ascii="Arial" w:hAnsi="Arial" w:hint="cs"/>
          <w:noProof w:val="0"/>
          <w:rtl/>
        </w:rPr>
        <w:t>37-42, 59,</w:t>
      </w:r>
      <w:r w:rsidR="0026515D">
        <w:rPr>
          <w:rFonts w:ascii="Arial" w:hAnsi="Arial" w:hint="cs"/>
          <w:noProof w:val="0"/>
          <w:rtl/>
        </w:rPr>
        <w:t xml:space="preserve"> ו- 67.5</w:t>
      </w:r>
      <w:r w:rsidR="007E7BE2">
        <w:rPr>
          <w:rFonts w:ascii="Arial" w:hAnsi="Arial" w:hint="cs"/>
          <w:noProof w:val="0"/>
          <w:rtl/>
        </w:rPr>
        <w:t xml:space="preserve"> </w:t>
      </w:r>
      <w:r w:rsidRPr="007E7BE2">
        <w:rPr>
          <w:rFonts w:ascii="Arial" w:hAnsi="Arial" w:hint="cs"/>
          <w:noProof w:val="0"/>
          <w:rtl/>
        </w:rPr>
        <w:t xml:space="preserve"> בכתב התביעה הנוגעים</w:t>
      </w:r>
      <w:r w:rsidR="007E7BE2">
        <w:rPr>
          <w:rFonts w:ascii="Arial" w:hAnsi="Arial" w:hint="cs"/>
          <w:noProof w:val="0"/>
          <w:rtl/>
        </w:rPr>
        <w:t xml:space="preserve"> לראש תביעה זה</w:t>
      </w:r>
      <w:r w:rsidRPr="007E7BE2">
        <w:rPr>
          <w:rFonts w:ascii="Arial" w:hAnsi="Arial" w:hint="cs"/>
          <w:noProof w:val="0"/>
          <w:rtl/>
        </w:rPr>
        <w:t>.</w:t>
      </w:r>
    </w:p>
    <w:p w:rsidR="007E7BE2" w:rsidRPr="007E7BE2" w:rsidRDefault="007E7BE2" w:rsidP="003F170A">
      <w:pPr>
        <w:pStyle w:val="ae"/>
        <w:spacing w:line="360" w:lineRule="auto"/>
        <w:jc w:val="both"/>
        <w:rPr>
          <w:rFonts w:ascii="Arial" w:hAnsi="Arial"/>
          <w:noProof w:val="0"/>
        </w:rPr>
      </w:pPr>
      <w:r>
        <w:rPr>
          <w:rFonts w:ascii="Arial" w:hAnsi="Arial" w:hint="cs"/>
          <w:noProof w:val="0"/>
          <w:rtl/>
        </w:rPr>
        <w:t xml:space="preserve">כן מתקבלת הבקשה לדחיית התביעה על הסף ביחס לסעד </w:t>
      </w:r>
      <w:r w:rsidR="00523F2F">
        <w:rPr>
          <w:rFonts w:ascii="Arial" w:hAnsi="Arial" w:hint="cs"/>
          <w:noProof w:val="0"/>
          <w:rtl/>
        </w:rPr>
        <w:t xml:space="preserve">הנוגע </w:t>
      </w:r>
      <w:r w:rsidR="003F170A">
        <w:rPr>
          <w:rFonts w:ascii="Arial" w:hAnsi="Arial" w:hint="cs"/>
          <w:noProof w:val="0"/>
          <w:rtl/>
        </w:rPr>
        <w:t>לשכר טרחה</w:t>
      </w:r>
      <w:r>
        <w:rPr>
          <w:rFonts w:ascii="Arial" w:hAnsi="Arial" w:hint="cs"/>
          <w:noProof w:val="0"/>
          <w:rtl/>
        </w:rPr>
        <w:t>. לפיכך אני מורה על מחיקת סעיפים</w:t>
      </w:r>
      <w:r w:rsidR="0026515D">
        <w:rPr>
          <w:rFonts w:ascii="Arial" w:hAnsi="Arial" w:hint="cs"/>
          <w:noProof w:val="0"/>
          <w:rtl/>
        </w:rPr>
        <w:t xml:space="preserve"> 60 ו- 67.6 בכתב התביעה הנוגעים לראש תביעה זה.</w:t>
      </w:r>
    </w:p>
    <w:p w:rsidR="00A031B7" w:rsidRDefault="00A031B7" w:rsidP="000D5D87">
      <w:pPr>
        <w:pStyle w:val="ae"/>
        <w:spacing w:line="360" w:lineRule="auto"/>
        <w:jc w:val="both"/>
        <w:rPr>
          <w:rFonts w:ascii="Arial" w:hAnsi="Arial"/>
          <w:noProof w:val="0"/>
        </w:rPr>
      </w:pPr>
      <w:r>
        <w:rPr>
          <w:rFonts w:ascii="Arial" w:hAnsi="Arial" w:hint="cs"/>
          <w:noProof w:val="0"/>
          <w:rtl/>
        </w:rPr>
        <w:t>הבקשה לדחיית התביעה על הסף נדחית ביחס ליתר הסעדים שבכת</w:t>
      </w:r>
      <w:r w:rsidR="0026515D">
        <w:rPr>
          <w:rFonts w:ascii="Arial" w:hAnsi="Arial" w:hint="cs"/>
          <w:noProof w:val="0"/>
          <w:rtl/>
        </w:rPr>
        <w:t>ב</w:t>
      </w:r>
      <w:r>
        <w:rPr>
          <w:rFonts w:ascii="Arial" w:hAnsi="Arial" w:hint="cs"/>
          <w:noProof w:val="0"/>
          <w:rtl/>
        </w:rPr>
        <w:t xml:space="preserve"> התביעה</w:t>
      </w:r>
      <w:r w:rsidR="0026515D">
        <w:rPr>
          <w:rFonts w:ascii="Arial" w:hAnsi="Arial" w:hint="cs"/>
          <w:noProof w:val="0"/>
          <w:rtl/>
        </w:rPr>
        <w:t xml:space="preserve"> והתביעה תידון לגופו של עניין</w:t>
      </w:r>
      <w:r>
        <w:rPr>
          <w:rFonts w:ascii="Arial" w:hAnsi="Arial" w:hint="cs"/>
          <w:noProof w:val="0"/>
          <w:rtl/>
        </w:rPr>
        <w:t xml:space="preserve">. </w:t>
      </w:r>
      <w:r w:rsidR="0026515D">
        <w:rPr>
          <w:rFonts w:ascii="Arial" w:hAnsi="Arial" w:hint="cs"/>
          <w:noProof w:val="0"/>
          <w:rtl/>
        </w:rPr>
        <w:t xml:space="preserve">יודגש שוב </w:t>
      </w:r>
      <w:r>
        <w:rPr>
          <w:rFonts w:ascii="Arial" w:hAnsi="Arial"/>
          <w:noProof w:val="0"/>
          <w:rtl/>
        </w:rPr>
        <w:t>שאין באמור כדי למנוע מהמבקשת לטעון טענותיה לדחיית התובענה לגופה מהעילות שנזכרו בבקשתה.</w:t>
      </w:r>
    </w:p>
    <w:p w:rsidR="00A031B7" w:rsidRDefault="00A031B7" w:rsidP="000D5D87">
      <w:pPr>
        <w:spacing w:line="360" w:lineRule="auto"/>
        <w:rPr>
          <w:rFonts w:ascii="Arial" w:hAnsi="Arial"/>
          <w:noProof w:val="0"/>
          <w:rtl/>
        </w:rPr>
      </w:pPr>
    </w:p>
    <w:p w:rsidR="0026515D" w:rsidRDefault="0026515D" w:rsidP="000D5D87">
      <w:pPr>
        <w:pStyle w:val="ae"/>
        <w:numPr>
          <w:ilvl w:val="0"/>
          <w:numId w:val="1"/>
        </w:numPr>
        <w:spacing w:line="360" w:lineRule="auto"/>
        <w:rPr>
          <w:rFonts w:ascii="Arial" w:hAnsi="Arial"/>
          <w:noProof w:val="0"/>
        </w:rPr>
      </w:pPr>
      <w:r>
        <w:rPr>
          <w:rFonts w:ascii="Arial" w:hAnsi="Arial" w:hint="cs"/>
          <w:noProof w:val="0"/>
          <w:rtl/>
        </w:rPr>
        <w:t>בהתחשב בתוצאה אינני עושה צו להוצאות בשלב זה ואלה ידונו במסגרת פסק הדין.</w:t>
      </w:r>
    </w:p>
    <w:p w:rsidR="000D5D87" w:rsidRDefault="000D5D87" w:rsidP="000D5D87">
      <w:pPr>
        <w:pStyle w:val="ae"/>
        <w:spacing w:line="360" w:lineRule="auto"/>
        <w:rPr>
          <w:rFonts w:ascii="Arial" w:hAnsi="Arial"/>
          <w:noProof w:val="0"/>
          <w:rtl/>
        </w:rPr>
      </w:pPr>
    </w:p>
    <w:p w:rsidR="000D5D87" w:rsidRDefault="000D5D87" w:rsidP="000D5D87">
      <w:pPr>
        <w:pStyle w:val="ae"/>
        <w:spacing w:line="360" w:lineRule="auto"/>
        <w:rPr>
          <w:rFonts w:ascii="Arial" w:hAnsi="Arial"/>
          <w:noProof w:val="0"/>
        </w:rPr>
      </w:pPr>
      <w:r>
        <w:rPr>
          <w:rFonts w:ascii="Arial" w:hAnsi="Arial" w:hint="cs"/>
          <w:noProof w:val="0"/>
          <w:rtl/>
        </w:rPr>
        <w:t>ההחלטה מותרת בפרסום בהשמטת פרטים מזהים.</w:t>
      </w:r>
    </w:p>
    <w:p w:rsidR="006541AF" w:rsidRPr="00E0025E" w:rsidRDefault="008D45DC" w:rsidP="008B75F5">
      <w:pPr>
        <w:tabs>
          <w:tab w:val="left" w:pos="7305"/>
        </w:tabs>
        <w:spacing w:line="360" w:lineRule="auto"/>
        <w:jc w:val="both"/>
        <w:rPr>
          <w:rFonts w:ascii="Arial" w:hAnsi="Arial"/>
          <w:noProof w:val="0"/>
          <w:rtl/>
        </w:rPr>
      </w:pPr>
      <w:r>
        <w:rPr>
          <w:rFonts w:ascii="Arial" w:hAnsi="Arial"/>
          <w:noProof w:val="0"/>
          <w:rtl/>
        </w:rPr>
        <w:tab/>
      </w:r>
      <w:r>
        <w:rPr>
          <w:rFonts w:ascii="Arial" w:hAnsi="Arial" w:hint="cs"/>
          <w:noProof w:val="0"/>
          <w:rtl/>
        </w:rPr>
        <w:t xml:space="preserve">                                                                                                     </w:t>
      </w: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י"ז חשוון תשפ"ה</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18 נובמבר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221176357"/>
        </w:sdtPr>
        <w:sdtEndPr/>
        <w:sdtContent>
          <w:r w:rsidR="00D244AF">
            <w:drawing>
              <wp:inline distT="0" distB="0" distL="0" distR="0" wp14:editId="50D07946">
                <wp:extent cx="1971675"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5" cstate="print">
                          <a:extLst/>
                        </a:blip>
                        <a:stretch>
                          <a:fillRect/>
                        </a:stretch>
                      </pic:blipFill>
                      <pic:spPr>
                        <a:xfrm>
                          <a:off x="0" y="0"/>
                          <a:ext cx="1971675" cy="53340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3F170A">
      <w:pPr>
        <w:spacing w:line="360" w:lineRule="auto"/>
        <w:jc w:val="both"/>
        <w:rPr>
          <w:rFonts w:ascii="Arial" w:hAnsi="Arial"/>
          <w:noProof w:val="0"/>
          <w:rtl/>
        </w:rPr>
      </w:pPr>
      <w:r>
        <w:rPr>
          <w:rFonts w:ascii="Arial" w:hAnsi="Arial" w:hint="cs"/>
          <w:noProof w:val="0"/>
          <w:rtl/>
        </w:rPr>
        <w:lastRenderedPageBreak/>
        <w:t>פ</w:t>
      </w:r>
    </w:p>
    <w:p w:rsidR="003F170A" w:rsidRDefault="003F170A">
      <w:pPr>
        <w:spacing w:line="360" w:lineRule="auto"/>
        <w:jc w:val="both"/>
        <w:rPr>
          <w:rFonts w:ascii="Arial" w:hAnsi="Arial"/>
          <w:noProof w:val="0"/>
          <w:rtl/>
        </w:rPr>
      </w:pPr>
    </w:p>
    <w:sectPr w:rsidR="003F170A" w:rsidSect="002914D6">
      <w:headerReference w:type="even" r:id="rId26"/>
      <w:headerReference w:type="default" r:id="rId27"/>
      <w:footerReference w:type="even" r:id="rId28"/>
      <w:footerReference w:type="default" r:id="rId29"/>
      <w:headerReference w:type="first" r:id="rId30"/>
      <w:footerReference w:type="first" r:id="rId31"/>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A1C" w:rsidRDefault="00A27A1C">
      <w:r>
        <w:separator/>
      </w:r>
    </w:p>
  </w:endnote>
  <w:endnote w:type="continuationSeparator" w:id="0">
    <w:p w:rsidR="00A27A1C" w:rsidRDefault="00A27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800" w:rsidRDefault="002D68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17072C">
      <w:rPr>
        <w:rStyle w:val="ab"/>
        <w:rtl/>
      </w:rPr>
      <w:t>9</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17072C">
      <w:rPr>
        <w:rStyle w:val="ab"/>
        <w:rtl/>
      </w:rPr>
      <w:t>9</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800" w:rsidRDefault="002D68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A1C" w:rsidRDefault="00A27A1C">
      <w:r>
        <w:separator/>
      </w:r>
    </w:p>
  </w:footnote>
  <w:footnote w:type="continuationSeparator" w:id="0">
    <w:p w:rsidR="00A27A1C" w:rsidRDefault="00A27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800" w:rsidRDefault="002D68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18 נובמבר 2024</w:t>
              </w:r>
            </w:p>
          </w:tc>
        </w:sdtContent>
      </w:sdt>
    </w:tr>
    <w:tr w:rsidR="002914D6">
      <w:trPr>
        <w:trHeight w:val="337"/>
        <w:jc w:val="center"/>
      </w:trPr>
      <w:tc>
        <w:tcPr>
          <w:tcW w:w="8721" w:type="dxa"/>
          <w:gridSpan w:val="2"/>
        </w:tcPr>
        <w:p w:rsidR="002914D6" w:rsidRDefault="00A27A1C" w:rsidP="00D244AF">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24432-03-24</w:t>
              </w:r>
            </w:sdtContent>
          </w:sdt>
          <w:r w:rsidR="00011212">
            <w:rPr>
              <w:b/>
              <w:bCs/>
              <w:noProof w:val="0"/>
              <w:sz w:val="26"/>
              <w:szCs w:val="26"/>
              <w:rtl/>
            </w:rPr>
            <w:t xml:space="preserve"> </w:t>
          </w:r>
          <w:sdt>
            <w:sdtPr>
              <w:rPr>
                <w:rtl/>
              </w:rPr>
              <w:alias w:val="1172"/>
              <w:tag w:val="1172"/>
              <w:id w:val="1484202908"/>
              <w:text w:multiLine="1"/>
            </w:sdtPr>
            <w:sdtEndPr/>
            <w:sdtContent>
              <w:r w:rsidR="00D244AF">
                <w:rPr>
                  <w:rFonts w:hint="cs"/>
                  <w:b/>
                  <w:bCs/>
                  <w:noProof w:val="0"/>
                  <w:sz w:val="26"/>
                  <w:szCs w:val="26"/>
                  <w:rtl/>
                </w:rPr>
                <w:t>פלונית</w:t>
              </w:r>
              <w:r w:rsidR="00CC29C2">
                <w:rPr>
                  <w:b/>
                  <w:bCs/>
                  <w:noProof w:val="0"/>
                  <w:sz w:val="26"/>
                  <w:szCs w:val="26"/>
                  <w:rtl/>
                </w:rPr>
                <w:t xml:space="preserve"> נ' </w:t>
              </w:r>
              <w:r w:rsidR="00D244AF">
                <w:rPr>
                  <w:rFonts w:hint="cs"/>
                  <w:b/>
                  <w:bCs/>
                  <w:noProof w:val="0"/>
                  <w:sz w:val="26"/>
                  <w:szCs w:val="26"/>
                  <w:rtl/>
                </w:rPr>
                <w:t>אלמוני</w:t>
              </w:r>
            </w:sdtContent>
          </w:sdt>
        </w:p>
        <w:p w:rsidR="002914D6" w:rsidRDefault="002914D6">
          <w:pPr>
            <w:rPr>
              <w:rtl/>
            </w:rPr>
          </w:pPr>
        </w:p>
        <w:p w:rsidR="008465C2" w:rsidRDefault="008465C2">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6800" w:rsidRDefault="002D68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52092"/>
    <w:multiLevelType w:val="hybridMultilevel"/>
    <w:tmpl w:val="4DB6C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B13E71"/>
    <w:multiLevelType w:val="hybridMultilevel"/>
    <w:tmpl w:val="98B6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814840"/>
    <w:multiLevelType w:val="hybridMultilevel"/>
    <w:tmpl w:val="8BAA75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BEA631C"/>
    <w:multiLevelType w:val="hybridMultilevel"/>
    <w:tmpl w:val="C9B6D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0A74D7"/>
    <w:multiLevelType w:val="hybridMultilevel"/>
    <w:tmpl w:val="4DB6C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6A1D18"/>
    <w:multiLevelType w:val="hybridMultilevel"/>
    <w:tmpl w:val="98B6E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0544D1"/>
    <w:multiLevelType w:val="hybridMultilevel"/>
    <w:tmpl w:val="860E3F04"/>
    <w:lvl w:ilvl="0" w:tplc="5DE82BF6">
      <w:start w:val="1"/>
      <w:numFmt w:val="decimal"/>
      <w:lvlText w:val="%1."/>
      <w:lvlJc w:val="left"/>
      <w:pPr>
        <w:ind w:left="720" w:hanging="360"/>
      </w:pPr>
      <w:rPr>
        <w:rFonts w:ascii="David" w:hAnsi="David" w:cs="David" w:hint="default"/>
        <w:i w:val="0"/>
        <w:iCs w:val="0"/>
        <w:strike w:val="0"/>
        <w:dstrike w:val="0"/>
        <w:sz w:val="24"/>
        <w:szCs w:val="24"/>
        <w:u w:val="none"/>
        <w:effect w:val="none"/>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E2C1EE8"/>
    <w:multiLevelType w:val="hybridMultilevel"/>
    <w:tmpl w:val="3F1A181E"/>
    <w:lvl w:ilvl="0" w:tplc="CE38B05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FA11F30"/>
    <w:multiLevelType w:val="hybridMultilevel"/>
    <w:tmpl w:val="1B9EF2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6277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62772&amp;lt;/CaseID&amp;gt;_x000d__x000a_        &amp;lt;CaseMonth&amp;gt;3&amp;lt;/CaseMonth&amp;gt;_x000d__x000a_        &amp;lt;CaseYear&amp;gt;2024&amp;lt;/CaseYear&amp;gt;_x000d__x000a_        &amp;lt;CaseNumber&amp;gt;24432&amp;lt;/CaseNumber&amp;gt;_x000d__x000a_        &amp;lt;NumeratorGroupID&amp;gt;1&amp;lt;/NumeratorGroupID&amp;gt;_x000d__x000a_        &amp;lt;CaseName&amp;gt;דה פורטו נ&amp;#39; דה פורטו&amp;lt;/CaseName&amp;gt;_x000d__x000a_        &amp;lt;CourtID&amp;gt;30&amp;lt;/CourtID&amp;gt;_x000d__x000a_        &amp;lt;CaseTypeID&amp;gt;10262&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432-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12T07:00: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62772&amp;lt;/CaseID&amp;gt;_x000d__x000a_        &amp;lt;CaseMonth&amp;gt;3&amp;lt;/CaseMonth&amp;gt;_x000d__x000a_        &amp;lt;CaseYear&amp;gt;2024&amp;lt;/CaseYear&amp;gt;_x000d__x000a_        &amp;lt;CaseNumber&amp;gt;24432&amp;lt;/CaseNumber&amp;gt;_x000d__x000a_        &amp;lt;NumeratorGroupID&amp;gt;1&amp;lt;/NumeratorGroupID&amp;gt;_x000d__x000a_        &amp;lt;CaseName&amp;gt;דה פורטו נ&amp;#39; דה פורטו&amp;lt;/CaseName&amp;gt;_x000d__x000a_        &amp;lt;CourtID&amp;gt;30&amp;lt;/CourtID&amp;gt;_x000d__x000a_        &amp;lt;CaseTypeID&amp;gt;10262&amp;lt;/CaseTypeID&amp;gt;_x000d__x000a_        &amp;lt;CaseInterestID&amp;gt;10512&amp;lt;/CaseInterestID&amp;gt;_x000d__x000a_        &amp;lt;CaseJudgeName&amp;gt;אורית בן דור ליב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4432-03-24&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3-12T07:00:00+02: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ורית&amp;lt;/CaseJudgeFirstName&amp;gt;_x000d__x000a_        &amp;lt;CaseJudgeLastName&amp;gt;בן דור ליבל&amp;lt;/CaseJudgeLastName&amp;gt;_x000d__x000a_        &amp;lt;JudicalPersonID&amp;gt;032061806@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70801&amp;lt;/DecisionID&amp;gt;_x000d__x000a_        &amp;lt;DecisionNumber&amp;gt;8&amp;lt;/DecisionNumber&amp;gt;_x000d__x000a_        &amp;lt;DecisionName&amp;gt;החלטה על בקשה של נתבע 1 בקשה לסילוק על הסף&amp;lt;/DecisionName&amp;gt;_x000d__x000a_        &amp;lt;DecisionStatusID&amp;gt;1&amp;lt;/DecisionStatusID&amp;gt;_x000d__x000a_        &amp;lt;DecisionStatusChangeDate&amp;gt;2024-11-14T15:23:35.427+02:00&amp;lt;/DecisionStatusChangeDate&amp;gt;_x000d__x000a_        &amp;lt;DecisionSignatureDate&amp;gt;2024-10-22T11:11:22.2+03:00&amp;lt;/DecisionSignatureDate&amp;gt;_x000d__x000a_        &amp;lt;DecisionSignatureUserID&amp;gt;032061806@GOV.IL&amp;lt;/DecisionSignatureUserID&amp;gt;_x000d__x000a_        &amp;lt;DecisionCreateDate&amp;gt;2024-10-22T11:16:33.54+03:00&amp;lt;/DecisionCreateDate&amp;gt;_x000d__x000a_        &amp;lt;DecisionChangeDate&amp;gt;2024-11-14T15:23:35.63+02:00&amp;lt;/DecisionChangeDate&amp;gt;_x000d__x000a_        &amp;lt;DecisionChangeUserID&amp;gt;0320618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31815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18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1806@GOV.IL&amp;lt;/DecisionCreationUserID&amp;gt;_x000d__x000a_        &amp;lt;DecisionDisplayName&amp;gt;החלטה על בקשה של נתבע 1 בקשה לסילוק על הסף&amp;lt;/DecisionDisplayName&amp;gt;_x000d__x000a_        &amp;lt;IsScanned&amp;gt;false&amp;lt;/IsScanned&amp;gt;_x000d__x000a_        &amp;lt;DecisionSignatureUserName&amp;gt;אורית בן דור ליב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55570801&amp;lt;/DecisionID&amp;gt;_x000d__x000a_        &amp;lt;CaseID&amp;gt;81062772&amp;lt;/CaseID&amp;gt;_x000d__x000a_        &amp;lt;IsOriginal&amp;gt;true&amp;lt;/IsOriginal&amp;gt;_x000d__x000a_        &amp;lt;IsDeleted&amp;gt;false&amp;lt;/IsDeleted&amp;gt;_x000d__x000a_        &amp;lt;CaseName&amp;gt;דה פורטו נ&amp;#39; דה פורטו&amp;lt;/CaseName&amp;gt;_x000d__x000a_        &amp;lt;CaseDisplayIdentifier&amp;gt;24432-03-24 תלה&amp;quot;מ&amp;lt;/CaseDisplayIdentifier&amp;gt;_x000d__x000a_      &amp;lt;/dt_DecisionCase&amp;gt;_x000d__x000a_      &amp;lt;dt_DecisionMotion diffgr:id=&amp;quot;dt_DecisionMotion1&amp;quot; msdata:rowOrder=&amp;quot;0&amp;quot;&amp;gt;_x000d__x000a_        &amp;lt;DecisionID&amp;gt;155570801&amp;lt;/DecisionID&amp;gt;_x000d__x000a_        &amp;lt;MotionID&amp;gt;109690706&amp;lt;/MotionID&amp;gt;_x000d__x000a_        &amp;lt;IsOriginalMotion&amp;gt;true&amp;lt;/IsOriginalMotion&amp;gt;_x000d__x000a_        &amp;lt;MotionName&amp;gt;בקשה של נתבע 1 בקשה לסילוק על הסף&amp;lt;/MotionName&amp;gt;_x000d__x000a_        &amp;lt;MotionOpenDate&amp;gt;2024-09-20T09:12:47.963+03:00&amp;lt;/MotionOpenDate&amp;gt;_x000d__x000a_        &amp;lt;CaseID&amp;gt;81062772&amp;lt;/CaseID&amp;gt;_x000d__x000a_        &amp;lt;CaseDisplayIdentifier&amp;gt;24432-03-24 תלה&amp;quot;מ&amp;lt;/CaseDisplayIdentifier&amp;gt;_x000d__x000a_        &amp;lt;ProcessNumber&amp;gt;8&amp;lt;/ProcessNumber&amp;gt;_x000d__x000a_        &amp;lt;ListOfProcessIds&amp;gt;8&amp;lt;/ListOfProcessIds&amp;gt;_x000d__x000a_      &amp;lt;/dt_DecisionMotion&amp;gt;_x000d__x000a_    &amp;lt;/DecisionDS&amp;gt;_x000d__x000a_  &amp;lt;/diffgr:diffgram&amp;gt;_x000d__x000a_&amp;lt;/DecisionDS&amp;gt;"/>
    <w:docVar w:name="DecisionID" w:val="155570801"/>
    <w:docVar w:name="WordClientAssemblyName" w:val="NGCS.Decision.ClientWordBL"/>
    <w:docVar w:name="WordClientClassName" w:val="NGCS.Decision.ClientWordBL.DecisionClient"/>
  </w:docVars>
  <w:rsids>
    <w:rsidRoot w:val="002914D6"/>
    <w:rsid w:val="0000737D"/>
    <w:rsid w:val="00011212"/>
    <w:rsid w:val="0001261D"/>
    <w:rsid w:val="0002002D"/>
    <w:rsid w:val="0003139A"/>
    <w:rsid w:val="000875D1"/>
    <w:rsid w:val="000940EA"/>
    <w:rsid w:val="000A6043"/>
    <w:rsid w:val="000B4B53"/>
    <w:rsid w:val="000D45AB"/>
    <w:rsid w:val="000D5D87"/>
    <w:rsid w:val="000D729F"/>
    <w:rsid w:val="000E1150"/>
    <w:rsid w:val="000F11B6"/>
    <w:rsid w:val="001142E8"/>
    <w:rsid w:val="00124739"/>
    <w:rsid w:val="00131383"/>
    <w:rsid w:val="001322CF"/>
    <w:rsid w:val="0014058F"/>
    <w:rsid w:val="00146BFE"/>
    <w:rsid w:val="00156868"/>
    <w:rsid w:val="00163102"/>
    <w:rsid w:val="0017072C"/>
    <w:rsid w:val="0018192D"/>
    <w:rsid w:val="00192D09"/>
    <w:rsid w:val="0019474B"/>
    <w:rsid w:val="001B2A3D"/>
    <w:rsid w:val="001D1344"/>
    <w:rsid w:val="002239C3"/>
    <w:rsid w:val="00226A6F"/>
    <w:rsid w:val="00233DB1"/>
    <w:rsid w:val="0023762E"/>
    <w:rsid w:val="0024192E"/>
    <w:rsid w:val="00245B44"/>
    <w:rsid w:val="002522FA"/>
    <w:rsid w:val="002532E3"/>
    <w:rsid w:val="002543F3"/>
    <w:rsid w:val="0025555E"/>
    <w:rsid w:val="0026515D"/>
    <w:rsid w:val="00273D47"/>
    <w:rsid w:val="00274D4A"/>
    <w:rsid w:val="00280FBE"/>
    <w:rsid w:val="002856D3"/>
    <w:rsid w:val="002914D6"/>
    <w:rsid w:val="002B07DD"/>
    <w:rsid w:val="002B0B6E"/>
    <w:rsid w:val="002B1E13"/>
    <w:rsid w:val="002B7B19"/>
    <w:rsid w:val="002D6800"/>
    <w:rsid w:val="002E4050"/>
    <w:rsid w:val="002F5307"/>
    <w:rsid w:val="0030758F"/>
    <w:rsid w:val="00314997"/>
    <w:rsid w:val="003174EF"/>
    <w:rsid w:val="003252F8"/>
    <w:rsid w:val="003369D2"/>
    <w:rsid w:val="0038292B"/>
    <w:rsid w:val="003852AB"/>
    <w:rsid w:val="003914AD"/>
    <w:rsid w:val="003A0546"/>
    <w:rsid w:val="003A0652"/>
    <w:rsid w:val="003A0B00"/>
    <w:rsid w:val="003A2C22"/>
    <w:rsid w:val="003E48D3"/>
    <w:rsid w:val="003F170A"/>
    <w:rsid w:val="003F3137"/>
    <w:rsid w:val="004148BD"/>
    <w:rsid w:val="00436768"/>
    <w:rsid w:val="00444AC6"/>
    <w:rsid w:val="00456B46"/>
    <w:rsid w:val="00462638"/>
    <w:rsid w:val="00483E28"/>
    <w:rsid w:val="004F4787"/>
    <w:rsid w:val="00501E61"/>
    <w:rsid w:val="00511AEE"/>
    <w:rsid w:val="00521473"/>
    <w:rsid w:val="005217B4"/>
    <w:rsid w:val="00523F2F"/>
    <w:rsid w:val="00526064"/>
    <w:rsid w:val="00530E94"/>
    <w:rsid w:val="00547A05"/>
    <w:rsid w:val="00574B54"/>
    <w:rsid w:val="005750A3"/>
    <w:rsid w:val="0058047A"/>
    <w:rsid w:val="005A0D03"/>
    <w:rsid w:val="005A15BE"/>
    <w:rsid w:val="005B504B"/>
    <w:rsid w:val="005B6413"/>
    <w:rsid w:val="005D0EFF"/>
    <w:rsid w:val="005E60F9"/>
    <w:rsid w:val="005E66BB"/>
    <w:rsid w:val="006065F1"/>
    <w:rsid w:val="006309C4"/>
    <w:rsid w:val="00630F64"/>
    <w:rsid w:val="00633339"/>
    <w:rsid w:val="006541AF"/>
    <w:rsid w:val="006937D3"/>
    <w:rsid w:val="006A2A8E"/>
    <w:rsid w:val="006A2FD4"/>
    <w:rsid w:val="006B0EF5"/>
    <w:rsid w:val="006D014B"/>
    <w:rsid w:val="006E353C"/>
    <w:rsid w:val="006E3ADA"/>
    <w:rsid w:val="006F001D"/>
    <w:rsid w:val="00715A89"/>
    <w:rsid w:val="00720603"/>
    <w:rsid w:val="007350A6"/>
    <w:rsid w:val="007503B1"/>
    <w:rsid w:val="00752651"/>
    <w:rsid w:val="00755B71"/>
    <w:rsid w:val="00770F59"/>
    <w:rsid w:val="0079419E"/>
    <w:rsid w:val="007A1AED"/>
    <w:rsid w:val="007B695E"/>
    <w:rsid w:val="007E16F8"/>
    <w:rsid w:val="007E735E"/>
    <w:rsid w:val="007E7BE2"/>
    <w:rsid w:val="0080029A"/>
    <w:rsid w:val="00810357"/>
    <w:rsid w:val="00822AA5"/>
    <w:rsid w:val="008465C2"/>
    <w:rsid w:val="00847131"/>
    <w:rsid w:val="00851C67"/>
    <w:rsid w:val="00856DB7"/>
    <w:rsid w:val="00865F3A"/>
    <w:rsid w:val="008725C2"/>
    <w:rsid w:val="00876906"/>
    <w:rsid w:val="00895528"/>
    <w:rsid w:val="008B5CD8"/>
    <w:rsid w:val="008B75F5"/>
    <w:rsid w:val="008D45DC"/>
    <w:rsid w:val="008E106A"/>
    <w:rsid w:val="008E115A"/>
    <w:rsid w:val="008E77EA"/>
    <w:rsid w:val="008E7E64"/>
    <w:rsid w:val="008F53D2"/>
    <w:rsid w:val="00900BFF"/>
    <w:rsid w:val="00902774"/>
    <w:rsid w:val="00904FA7"/>
    <w:rsid w:val="009143ED"/>
    <w:rsid w:val="00915B1B"/>
    <w:rsid w:val="00920DD8"/>
    <w:rsid w:val="00921E03"/>
    <w:rsid w:val="00937B69"/>
    <w:rsid w:val="00976A73"/>
    <w:rsid w:val="00977CAE"/>
    <w:rsid w:val="009863E6"/>
    <w:rsid w:val="00994BC1"/>
    <w:rsid w:val="009A04C9"/>
    <w:rsid w:val="009A3342"/>
    <w:rsid w:val="009C3A85"/>
    <w:rsid w:val="009C6919"/>
    <w:rsid w:val="009D1711"/>
    <w:rsid w:val="009D4400"/>
    <w:rsid w:val="009F264A"/>
    <w:rsid w:val="009F6B9E"/>
    <w:rsid w:val="00A031B7"/>
    <w:rsid w:val="00A17499"/>
    <w:rsid w:val="00A25626"/>
    <w:rsid w:val="00A27A1C"/>
    <w:rsid w:val="00A65214"/>
    <w:rsid w:val="00A72BE3"/>
    <w:rsid w:val="00A7661B"/>
    <w:rsid w:val="00A81C01"/>
    <w:rsid w:val="00A85FFA"/>
    <w:rsid w:val="00AA496B"/>
    <w:rsid w:val="00AA63B9"/>
    <w:rsid w:val="00AE75A6"/>
    <w:rsid w:val="00AF579D"/>
    <w:rsid w:val="00B00055"/>
    <w:rsid w:val="00B0562A"/>
    <w:rsid w:val="00B211DA"/>
    <w:rsid w:val="00B234CE"/>
    <w:rsid w:val="00B306FF"/>
    <w:rsid w:val="00B31305"/>
    <w:rsid w:val="00B33D6D"/>
    <w:rsid w:val="00B37311"/>
    <w:rsid w:val="00B476D8"/>
    <w:rsid w:val="00B500D4"/>
    <w:rsid w:val="00B576FA"/>
    <w:rsid w:val="00B74C65"/>
    <w:rsid w:val="00B869BB"/>
    <w:rsid w:val="00B91D00"/>
    <w:rsid w:val="00BA1EA9"/>
    <w:rsid w:val="00BC07F2"/>
    <w:rsid w:val="00BC273D"/>
    <w:rsid w:val="00C67E1C"/>
    <w:rsid w:val="00C75F2B"/>
    <w:rsid w:val="00C86D8D"/>
    <w:rsid w:val="00CA3B95"/>
    <w:rsid w:val="00CA55F2"/>
    <w:rsid w:val="00CC1310"/>
    <w:rsid w:val="00CC1641"/>
    <w:rsid w:val="00CC29C2"/>
    <w:rsid w:val="00CE6E4D"/>
    <w:rsid w:val="00CE7F78"/>
    <w:rsid w:val="00D11D51"/>
    <w:rsid w:val="00D12CEE"/>
    <w:rsid w:val="00D1612D"/>
    <w:rsid w:val="00D244AF"/>
    <w:rsid w:val="00D30D90"/>
    <w:rsid w:val="00D34571"/>
    <w:rsid w:val="00D47311"/>
    <w:rsid w:val="00D551A2"/>
    <w:rsid w:val="00D6310B"/>
    <w:rsid w:val="00D643EC"/>
    <w:rsid w:val="00D90D97"/>
    <w:rsid w:val="00DA1B78"/>
    <w:rsid w:val="00DA714E"/>
    <w:rsid w:val="00DB6D01"/>
    <w:rsid w:val="00DC1D10"/>
    <w:rsid w:val="00DC6B36"/>
    <w:rsid w:val="00DC7166"/>
    <w:rsid w:val="00DD4D01"/>
    <w:rsid w:val="00DE1B07"/>
    <w:rsid w:val="00E0025E"/>
    <w:rsid w:val="00E15732"/>
    <w:rsid w:val="00E445B1"/>
    <w:rsid w:val="00E55687"/>
    <w:rsid w:val="00E62819"/>
    <w:rsid w:val="00E6428E"/>
    <w:rsid w:val="00E70A93"/>
    <w:rsid w:val="00E72C9F"/>
    <w:rsid w:val="00E75E0A"/>
    <w:rsid w:val="00E76D59"/>
    <w:rsid w:val="00E874A1"/>
    <w:rsid w:val="00E92A41"/>
    <w:rsid w:val="00E95E2D"/>
    <w:rsid w:val="00E96FC4"/>
    <w:rsid w:val="00EB7DEF"/>
    <w:rsid w:val="00EC118E"/>
    <w:rsid w:val="00EE46A4"/>
    <w:rsid w:val="00EF3A18"/>
    <w:rsid w:val="00F006CE"/>
    <w:rsid w:val="00F01AF0"/>
    <w:rsid w:val="00F10A78"/>
    <w:rsid w:val="00F11D88"/>
    <w:rsid w:val="00F13D8A"/>
    <w:rsid w:val="00F23187"/>
    <w:rsid w:val="00F250DD"/>
    <w:rsid w:val="00F42951"/>
    <w:rsid w:val="00F50E07"/>
    <w:rsid w:val="00F643E1"/>
    <w:rsid w:val="00F80979"/>
    <w:rsid w:val="00F863E1"/>
    <w:rsid w:val="00FB7873"/>
    <w:rsid w:val="00FB7DE5"/>
    <w:rsid w:val="00FC3C03"/>
    <w:rsid w:val="00FC5566"/>
    <w:rsid w:val="00FC7F57"/>
    <w:rsid w:val="00FE79C2"/>
    <w:rsid w:val="00FF798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B306FF"/>
    <w:pPr>
      <w:ind w:left="720"/>
      <w:contextualSpacing/>
    </w:pPr>
  </w:style>
  <w:style w:type="character" w:styleId="Hyperlink">
    <w:name w:val="Hyperlink"/>
    <w:basedOn w:val="a0"/>
    <w:unhideWhenUsed/>
    <w:rsid w:val="00FE79C2"/>
    <w:rPr>
      <w:color w:val="0000FF"/>
      <w:u w:val="single"/>
    </w:rPr>
  </w:style>
  <w:style w:type="paragraph" w:customStyle="1" w:styleId="1">
    <w:name w:val="פיסקת רשימה1"/>
    <w:basedOn w:val="a"/>
    <w:qFormat/>
    <w:rsid w:val="00FE79C2"/>
    <w:pPr>
      <w:spacing w:after="160" w:line="252" w:lineRule="auto"/>
      <w:ind w:left="720"/>
      <w:contextualSpacing/>
    </w:pPr>
    <w:rPr>
      <w:rFonts w:ascii="Calibri" w:eastAsia="Calibri" w:hAnsi="Calibri" w:cs="Arial"/>
      <w:noProof w:val="0"/>
      <w:sz w:val="22"/>
      <w:szCs w:val="22"/>
    </w:rPr>
  </w:style>
  <w:style w:type="paragraph" w:customStyle="1" w:styleId="ruller4">
    <w:name w:val="ruller4"/>
    <w:basedOn w:val="a"/>
    <w:rsid w:val="00483E28"/>
    <w:pPr>
      <w:overflowPunct w:val="0"/>
      <w:autoSpaceDE w:val="0"/>
      <w:autoSpaceDN w:val="0"/>
      <w:spacing w:line="360" w:lineRule="auto"/>
      <w:jc w:val="both"/>
    </w:pPr>
    <w:rPr>
      <w:rFonts w:ascii="Arial TUR" w:hAnsi="Arial TUR" w:cs="Arial TUR"/>
      <w:noProof w:val="0"/>
      <w:spacing w:val="10"/>
      <w:sz w:val="22"/>
      <w:szCs w:val="22"/>
      <w:lang w:eastAsia="he-IL"/>
    </w:rPr>
  </w:style>
  <w:style w:type="character" w:customStyle="1" w:styleId="-">
    <w:name w:val="-"/>
    <w:basedOn w:val="a0"/>
    <w:rsid w:val="00CE6E4D"/>
    <w:rPr>
      <w:rFonts w:ascii="FrankRuehl" w:hAnsi="FrankRuehl" w:cs="FrankRuehl" w:hint="default"/>
    </w:rPr>
  </w:style>
  <w:style w:type="character" w:customStyle="1" w:styleId="af">
    <w:name w:val="a"/>
    <w:basedOn w:val="a0"/>
    <w:rsid w:val="00CE6E4D"/>
    <w:rPr>
      <w:rFonts w:ascii="Miriam" w:hAnsi="Miriam" w:cs="Miriam" w:hint="default"/>
    </w:rPr>
  </w:style>
  <w:style w:type="paragraph" w:customStyle="1" w:styleId="ruller40">
    <w:name w:val="ruller40"/>
    <w:basedOn w:val="a"/>
    <w:rsid w:val="00AA63B9"/>
    <w:pPr>
      <w:bidi w:val="0"/>
      <w:spacing w:before="100" w:beforeAutospacing="1" w:after="100" w:afterAutospacing="1"/>
    </w:pPr>
    <w:rPr>
      <w:rFonts w:cs="Times New Roman"/>
      <w:noProof w:val="0"/>
    </w:rPr>
  </w:style>
  <w:style w:type="character" w:customStyle="1" w:styleId="Ruller41">
    <w:name w:val="Ruller4 תו"/>
    <w:link w:val="Ruller42"/>
    <w:locked/>
    <w:rsid w:val="007E16F8"/>
    <w:rPr>
      <w:rFonts w:ascii="Arial TUR" w:hAnsi="Arial TUR" w:cs="FrankRuehl"/>
      <w:spacing w:val="10"/>
      <w:sz w:val="22"/>
      <w:szCs w:val="28"/>
    </w:rPr>
  </w:style>
  <w:style w:type="paragraph" w:customStyle="1" w:styleId="Ruller42">
    <w:name w:val="Ruller4"/>
    <w:basedOn w:val="a"/>
    <w:link w:val="Ruller41"/>
    <w:rsid w:val="007E16F8"/>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listparagraph">
    <w:name w:val="listparagraph"/>
    <w:basedOn w:val="a"/>
    <w:rsid w:val="0000737D"/>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17381421">
      <w:bodyDiv w:val="1"/>
      <w:marLeft w:val="0"/>
      <w:marRight w:val="0"/>
      <w:marTop w:val="0"/>
      <w:marBottom w:val="0"/>
      <w:divBdr>
        <w:top w:val="none" w:sz="0" w:space="0" w:color="auto"/>
        <w:left w:val="none" w:sz="0" w:space="0" w:color="auto"/>
        <w:bottom w:val="none" w:sz="0" w:space="0" w:color="auto"/>
        <w:right w:val="none" w:sz="0" w:space="0" w:color="auto"/>
      </w:divBdr>
    </w:div>
    <w:div w:id="439102841">
      <w:bodyDiv w:val="1"/>
      <w:marLeft w:val="0"/>
      <w:marRight w:val="0"/>
      <w:marTop w:val="0"/>
      <w:marBottom w:val="0"/>
      <w:divBdr>
        <w:top w:val="none" w:sz="0" w:space="0" w:color="auto"/>
        <w:left w:val="none" w:sz="0" w:space="0" w:color="auto"/>
        <w:bottom w:val="none" w:sz="0" w:space="0" w:color="auto"/>
        <w:right w:val="none" w:sz="0" w:space="0" w:color="auto"/>
      </w:divBdr>
    </w:div>
    <w:div w:id="810369134">
      <w:bodyDiv w:val="1"/>
      <w:marLeft w:val="0"/>
      <w:marRight w:val="0"/>
      <w:marTop w:val="0"/>
      <w:marBottom w:val="0"/>
      <w:divBdr>
        <w:top w:val="none" w:sz="0" w:space="0" w:color="auto"/>
        <w:left w:val="none" w:sz="0" w:space="0" w:color="auto"/>
        <w:bottom w:val="none" w:sz="0" w:space="0" w:color="auto"/>
        <w:right w:val="none" w:sz="0" w:space="0" w:color="auto"/>
      </w:divBdr>
    </w:div>
    <w:div w:id="849946619">
      <w:bodyDiv w:val="1"/>
      <w:marLeft w:val="0"/>
      <w:marRight w:val="0"/>
      <w:marTop w:val="0"/>
      <w:marBottom w:val="0"/>
      <w:divBdr>
        <w:top w:val="none" w:sz="0" w:space="0" w:color="auto"/>
        <w:left w:val="none" w:sz="0" w:space="0" w:color="auto"/>
        <w:bottom w:val="none" w:sz="0" w:space="0" w:color="auto"/>
        <w:right w:val="none" w:sz="0" w:space="0" w:color="auto"/>
      </w:divBdr>
    </w:div>
    <w:div w:id="938945631">
      <w:bodyDiv w:val="1"/>
      <w:marLeft w:val="0"/>
      <w:marRight w:val="0"/>
      <w:marTop w:val="0"/>
      <w:marBottom w:val="0"/>
      <w:divBdr>
        <w:top w:val="none" w:sz="0" w:space="0" w:color="auto"/>
        <w:left w:val="none" w:sz="0" w:space="0" w:color="auto"/>
        <w:bottom w:val="none" w:sz="0" w:space="0" w:color="auto"/>
        <w:right w:val="none" w:sz="0" w:space="0" w:color="auto"/>
      </w:divBdr>
    </w:div>
    <w:div w:id="1231382029">
      <w:bodyDiv w:val="1"/>
      <w:marLeft w:val="0"/>
      <w:marRight w:val="0"/>
      <w:marTop w:val="0"/>
      <w:marBottom w:val="0"/>
      <w:divBdr>
        <w:top w:val="none" w:sz="0" w:space="0" w:color="auto"/>
        <w:left w:val="none" w:sz="0" w:space="0" w:color="auto"/>
        <w:bottom w:val="none" w:sz="0" w:space="0" w:color="auto"/>
        <w:right w:val="none" w:sz="0" w:space="0" w:color="auto"/>
      </w:divBdr>
    </w:div>
    <w:div w:id="1286692748">
      <w:bodyDiv w:val="1"/>
      <w:marLeft w:val="0"/>
      <w:marRight w:val="0"/>
      <w:marTop w:val="0"/>
      <w:marBottom w:val="0"/>
      <w:divBdr>
        <w:top w:val="none" w:sz="0" w:space="0" w:color="auto"/>
        <w:left w:val="none" w:sz="0" w:space="0" w:color="auto"/>
        <w:bottom w:val="none" w:sz="0" w:space="0" w:color="auto"/>
        <w:right w:val="none" w:sz="0" w:space="0" w:color="auto"/>
      </w:divBdr>
    </w:div>
    <w:div w:id="1389110037">
      <w:bodyDiv w:val="1"/>
      <w:marLeft w:val="0"/>
      <w:marRight w:val="0"/>
      <w:marTop w:val="0"/>
      <w:marBottom w:val="0"/>
      <w:divBdr>
        <w:top w:val="none" w:sz="0" w:space="0" w:color="auto"/>
        <w:left w:val="none" w:sz="0" w:space="0" w:color="auto"/>
        <w:bottom w:val="none" w:sz="0" w:space="0" w:color="auto"/>
        <w:right w:val="none" w:sz="0" w:space="0" w:color="auto"/>
      </w:divBdr>
    </w:div>
    <w:div w:id="1437948773">
      <w:bodyDiv w:val="1"/>
      <w:marLeft w:val="0"/>
      <w:marRight w:val="0"/>
      <w:marTop w:val="0"/>
      <w:marBottom w:val="0"/>
      <w:divBdr>
        <w:top w:val="none" w:sz="0" w:space="0" w:color="auto"/>
        <w:left w:val="none" w:sz="0" w:space="0" w:color="auto"/>
        <w:bottom w:val="none" w:sz="0" w:space="0" w:color="auto"/>
        <w:right w:val="none" w:sz="0" w:space="0" w:color="auto"/>
      </w:divBdr>
    </w:div>
    <w:div w:id="1545368603">
      <w:bodyDiv w:val="1"/>
      <w:marLeft w:val="0"/>
      <w:marRight w:val="0"/>
      <w:marTop w:val="0"/>
      <w:marBottom w:val="0"/>
      <w:divBdr>
        <w:top w:val="none" w:sz="0" w:space="0" w:color="auto"/>
        <w:left w:val="none" w:sz="0" w:space="0" w:color="auto"/>
        <w:bottom w:val="none" w:sz="0" w:space="0" w:color="auto"/>
        <w:right w:val="none" w:sz="0" w:space="0" w:color="auto"/>
      </w:divBdr>
    </w:div>
    <w:div w:id="1552572816">
      <w:bodyDiv w:val="1"/>
      <w:marLeft w:val="0"/>
      <w:marRight w:val="0"/>
      <w:marTop w:val="0"/>
      <w:marBottom w:val="0"/>
      <w:divBdr>
        <w:top w:val="none" w:sz="0" w:space="0" w:color="auto"/>
        <w:left w:val="none" w:sz="0" w:space="0" w:color="auto"/>
        <w:bottom w:val="none" w:sz="0" w:space="0" w:color="auto"/>
        <w:right w:val="none" w:sz="0" w:space="0" w:color="auto"/>
      </w:divBdr>
    </w:div>
    <w:div w:id="1574267986">
      <w:bodyDiv w:val="1"/>
      <w:marLeft w:val="0"/>
      <w:marRight w:val="0"/>
      <w:marTop w:val="0"/>
      <w:marBottom w:val="0"/>
      <w:divBdr>
        <w:top w:val="none" w:sz="0" w:space="0" w:color="auto"/>
        <w:left w:val="none" w:sz="0" w:space="0" w:color="auto"/>
        <w:bottom w:val="none" w:sz="0" w:space="0" w:color="auto"/>
        <w:right w:val="none" w:sz="0" w:space="0" w:color="auto"/>
      </w:divBdr>
    </w:div>
    <w:div w:id="165741192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5951598">
      <w:bodyDiv w:val="1"/>
      <w:marLeft w:val="0"/>
      <w:marRight w:val="0"/>
      <w:marTop w:val="0"/>
      <w:marBottom w:val="0"/>
      <w:divBdr>
        <w:top w:val="none" w:sz="0" w:space="0" w:color="auto"/>
        <w:left w:val="none" w:sz="0" w:space="0" w:color="auto"/>
        <w:bottom w:val="none" w:sz="0" w:space="0" w:color="auto"/>
        <w:right w:val="none" w:sz="0" w:space="0" w:color="auto"/>
      </w:divBdr>
    </w:div>
    <w:div w:id="1756316005">
      <w:bodyDiv w:val="1"/>
      <w:marLeft w:val="0"/>
      <w:marRight w:val="0"/>
      <w:marTop w:val="0"/>
      <w:marBottom w:val="0"/>
      <w:divBdr>
        <w:top w:val="none" w:sz="0" w:space="0" w:color="auto"/>
        <w:left w:val="none" w:sz="0" w:space="0" w:color="auto"/>
        <w:bottom w:val="none" w:sz="0" w:space="0" w:color="auto"/>
        <w:right w:val="none" w:sz="0" w:space="0" w:color="auto"/>
      </w:divBdr>
    </w:div>
    <w:div w:id="1854612667">
      <w:bodyDiv w:val="1"/>
      <w:marLeft w:val="0"/>
      <w:marRight w:val="0"/>
      <w:marTop w:val="0"/>
      <w:marBottom w:val="0"/>
      <w:divBdr>
        <w:top w:val="none" w:sz="0" w:space="0" w:color="auto"/>
        <w:left w:val="none" w:sz="0" w:space="0" w:color="auto"/>
        <w:bottom w:val="none" w:sz="0" w:space="0" w:color="auto"/>
        <w:right w:val="none" w:sz="0" w:space="0" w:color="auto"/>
      </w:divBdr>
    </w:div>
    <w:div w:id="1915119026">
      <w:bodyDiv w:val="1"/>
      <w:marLeft w:val="0"/>
      <w:marRight w:val="0"/>
      <w:marTop w:val="0"/>
      <w:marBottom w:val="0"/>
      <w:divBdr>
        <w:top w:val="none" w:sz="0" w:space="0" w:color="auto"/>
        <w:left w:val="none" w:sz="0" w:space="0" w:color="auto"/>
        <w:bottom w:val="none" w:sz="0" w:space="0" w:color="auto"/>
        <w:right w:val="none" w:sz="0" w:space="0" w:color="auto"/>
      </w:divBdr>
    </w:div>
    <w:div w:id="1934624171">
      <w:bodyDiv w:val="1"/>
      <w:marLeft w:val="0"/>
      <w:marRight w:val="0"/>
      <w:marTop w:val="0"/>
      <w:marBottom w:val="0"/>
      <w:divBdr>
        <w:top w:val="none" w:sz="0" w:space="0" w:color="auto"/>
        <w:left w:val="none" w:sz="0" w:space="0" w:color="auto"/>
        <w:bottom w:val="none" w:sz="0" w:space="0" w:color="auto"/>
        <w:right w:val="none" w:sz="0" w:space="0" w:color="auto"/>
      </w:divBdr>
    </w:div>
    <w:div w:id="1948737047">
      <w:bodyDiv w:val="1"/>
      <w:marLeft w:val="0"/>
      <w:marRight w:val="0"/>
      <w:marTop w:val="0"/>
      <w:marBottom w:val="0"/>
      <w:divBdr>
        <w:top w:val="none" w:sz="0" w:space="0" w:color="auto"/>
        <w:left w:val="none" w:sz="0" w:space="0" w:color="auto"/>
        <w:bottom w:val="none" w:sz="0" w:space="0" w:color="auto"/>
        <w:right w:val="none" w:sz="0" w:space="0" w:color="auto"/>
      </w:divBdr>
    </w:div>
    <w:div w:id="2058426507">
      <w:bodyDiv w:val="1"/>
      <w:marLeft w:val="0"/>
      <w:marRight w:val="0"/>
      <w:marTop w:val="0"/>
      <w:marBottom w:val="0"/>
      <w:divBdr>
        <w:top w:val="none" w:sz="0" w:space="0" w:color="auto"/>
        <w:left w:val="none" w:sz="0" w:space="0" w:color="auto"/>
        <w:bottom w:val="none" w:sz="0" w:space="0" w:color="auto"/>
        <w:right w:val="none" w:sz="0" w:space="0" w:color="auto"/>
      </w:divBdr>
    </w:div>
    <w:div w:id="20850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19447" TargetMode="External"/><Relationship Id="rId18" Type="http://schemas.openxmlformats.org/officeDocument/2006/relationships/hyperlink" Target="http://www.nevo.co.il/law/157751/25"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www.nevo.co.il/case/17945149" TargetMode="External"/><Relationship Id="rId7" Type="http://schemas.openxmlformats.org/officeDocument/2006/relationships/webSettings" Target="webSettings.xml"/><Relationship Id="rId12" Type="http://schemas.openxmlformats.org/officeDocument/2006/relationships/hyperlink" Target="http://www.nevo.co.il/links/psika/?link=&#1512;&#1506;&#1488;%20751/05" TargetMode="External"/><Relationship Id="rId17" Type="http://schemas.openxmlformats.org/officeDocument/2006/relationships/hyperlink" Target="http://www.nevo.co.il/case/5772153" TargetMode="External"/><Relationship Id="rId25" Type="http://schemas.openxmlformats.org/officeDocument/2006/relationships/image" Target="media/image1.jp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case/7955112" TargetMode="External"/><Relationship Id="rId20" Type="http://schemas.openxmlformats.org/officeDocument/2006/relationships/hyperlink" Target="http://www.nevo.co.il/case/5726123" TargetMode="Externa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inks/psika/?link=&#1512;&#1506;&#1488;%20359/06" TargetMode="External"/><Relationship Id="rId24" Type="http://schemas.openxmlformats.org/officeDocument/2006/relationships/hyperlink" Target="http://www.nevo.co.il/case/5585281" TargetMode="Externa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nevo.co.il/case/5877870" TargetMode="External"/><Relationship Id="rId23" Type="http://schemas.openxmlformats.org/officeDocument/2006/relationships/hyperlink" Target="http://www.nevo.co.il/case/22797675" TargetMode="External"/><Relationship Id="rId28" Type="http://schemas.openxmlformats.org/officeDocument/2006/relationships/footer" Target="footer1.xml"/><Relationship Id="rId10" Type="http://schemas.openxmlformats.org/officeDocument/2006/relationships/hyperlink" Target="http://www.nevo.co.il/links/psika/?link=&#1506;&#1506;&#1502;%205116/04" TargetMode="External"/><Relationship Id="rId19" Type="http://schemas.openxmlformats.org/officeDocument/2006/relationships/hyperlink" Target="http://www.nevo.co.il/case/21511731" TargetMode="External"/><Relationship Id="rId31"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45154" TargetMode="External"/><Relationship Id="rId22" Type="http://schemas.openxmlformats.org/officeDocument/2006/relationships/hyperlink" Target="http://www.nevo.co.il/case/22185497"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בראון</FullName>
        <FirstName>משה</FirstName>
        <LastName>בראון</LastName>
        <PartyPropertyName/>
        <AuthenticationTypeAndNumber>מ.ר. 16608</AuthenticationTypeAndNumber>
        <RepresentatedOrRepresentativesNames>דיה כהן</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267874722</CasePartyID>
        <PartyTypeID>2</PartyTypeID>
        <ActivityStatusID>1</ActivityStatusID>
        <PartyAliasID>21</PartyAliasID>
        <PartyAliasName>בא כוח נתבעים</PartyAliasName>
        <LegalEntityID>379599</LegalEntityID>
        <CaseLegalEntityID>128205114</CaseLegalEntityID>
        <AuthenticationTypeID>4</AuthenticationTypeID>
        <AuthenticationTypeName>מ.ר.</AuthenticationTypeName>
        <LegalEntityNumber>16608</LegalEntityNumber>
        <IsMainPartyType>true</IsMainPartyType>
        <CaseDisplayIdentifier>24432-03-24</CaseDisplayIdentifier>
        <CaseTypeID>10262</CaseTypeID>
        <CaseTypeName>תביעה לאחר הסדר התדיינויות במשפחה (תלה"מ)</CaseTypeName>
        <CaseName>דה פורטו נ' דה פורטו</CaseName>
        <FullAddress>דוד המלך 8 ירושלים קומה 4</FullAddress>
        <EmailAddress>brownadv@gmail.com</EmailAddress>
        <MotionID>0</MotionID>
        <CasePleaID>0</CasePleaID>
        <LinkedCaseID>0</LinkedCaseID>
        <PartyID>2</PartyID>
        <CasePartyCategoryID>2</CasePartyCategoryID>
        <LegalEntityAddressID>84460989</LegalEntityAddressID>
        <LegalEntityEmailAddressID>67843498</LegalEntityEmailAddressID>
        <PleaTypeID>4</PleaTypeID>
        <LawyerOfficeName>בראון</LawyerOfficeName>
        <LawyerOfficeID>419361</LawyerOfficeID>
        <GroupPartyAlias/>
        <IsConverted>false</IsConverted>
        <LegalEntityNameID>583</LegalEntityNameID>
        <RepresentatedNamesOfAssistant/>
        <LegalEntityTypeID>4</LegalEntityTypeID>
        <IsVerdictExists>false</IsVerdictExists>
        <IsAsirAzir>false</IsAsirAzir>
        <MainAndSecSpec/>
        <IsPublicationProhibited>false</IsPublicationProhibited>
        <PublicationProhibitedFullName>משה בראון</PublicationProhibitedFullName>
      </CaseParties>
      <CaseParties>
        <PartyTypeName>צד</PartyTypeName>
        <ProceedingType>בקשות</ProceedingType>
        <PleaName>בקשה של נתבע 1 בקשה לסילוק על הסף</PleaName>
        <PartyBelonging>צד א'</PartyBelonging>
        <RoleName>מבקש 1</RoleName>
        <IsSubProceeding>TRUE</IsSubProceeding>
        <FullName>דיה כהן</FullName>
        <FirstName>דיה</FirstName>
        <LastName>כהן</LastName>
        <PartyPropertyName/>
        <AuthenticationTypeAndNumber>ת"ז 203461892</AuthenticationTypeAndNumber>
        <RepresentatedOrRepresentativesNames>משה בראון</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277754303</CasePartyID>
        <PartyTypeID>1</PartyTypeID>
        <ActivityStatusID>1</ActivityStatusID>
        <PartyAliasID>3</PartyAliasID>
        <PartyAliasName>מבקש</PartyAliasName>
        <OrdinalNumber>1</OrdinalNumber>
        <LegalEntityID>78127769</LegalEntityID>
        <CaseLegalEntityID>128106218</CaseLegalEntityID>
        <AuthenticationTypeID>1</AuthenticationTypeID>
        <AuthenticationTypeName>ת"ז</AuthenticationTypeName>
        <LegalEntityNumber>203461892</LegalEntityNumber>
        <IsMainPartyType>false</IsMainPartyType>
        <CaseDisplayIdentifier>24432-03-24</CaseDisplayIdentifier>
        <CaseTypeID>10262</CaseTypeID>
        <CaseTypeName>תביעה לאחר הסדר התדיינויות במשפחה (תלה"מ)</CaseTypeName>
        <CaseName>דה פורטו נ' דה פורטו</CaseName>
        <FullAddress>נחשון  בית</FullAddress>
        <EmailAddress>dayacohen90@gmail.com</EmailAddress>
        <MotionID>109690706</MotionID>
        <CasePleaID>0</CasePleaID>
        <FatherName>משה</FatherName>
        <LinkedCaseID>0</LinkedCaseID>
        <PartyID>1</PartyID>
        <CasePartyCategoryID>4</CasePartyCategoryID>
        <LegalEntityAddressID>89065374</LegalEntityAddressID>
        <LegalEntityEmailAddressID>68363865</LegalEntityEmailAddressID>
        <PleaTypeID>60</PleaTypeID>
        <GroupPartyAlias>מבקשים</GroupPartyAlias>
        <IsConverted>false</IsConverted>
        <LegalEntityRegisteredNameID>9293028</LegalEntityRegisteredNameID>
        <LegalEntityNameID>96278126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דיה כהן</PublicationProhibitedFullName>
      </CaseParties>
      <CaseParties>
        <PartyTypeName>צד</PartyTypeName>
        <ProceedingType>בקשות</ProceedingType>
        <PleaName>בקשה של נתבע 1 בקשה לסילוק על הסף</PleaName>
        <PartyBelonging>צד ב'</PartyBelonging>
        <RoleName>משיב 1</RoleName>
        <IsSubProceeding>TRUE</IsSubProceeding>
        <FullName>גל דה פורטו</FullName>
        <FirstName>גל</FirstName>
        <LastName>דה פורטו</LastName>
        <PartyPropertyName/>
        <AuthenticationTypeAndNumber>ת"ז 301848933</AuthenticationTypeAndNumber>
        <RepresentatedOrRepresentativesNames>ארז הראל</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277754304</CasePartyID>
        <PartyTypeID>1</PartyTypeID>
        <ActivityStatusID>1</ActivityStatusID>
        <PartyAliasID>4</PartyAliasID>
        <PartyAliasName>משיב</PartyAliasName>
        <OrdinalNumber>1</OrdinalNumber>
        <LegalEntityID>72834459</LegalEntityID>
        <CaseLegalEntityID>128106216</CaseLegalEntityID>
        <AuthenticationTypeID>1</AuthenticationTypeID>
        <AuthenticationTypeName>ת"ז</AuthenticationTypeName>
        <LegalEntityNumber>301848933</LegalEntityNumber>
        <IsMainPartyType>false</IsMainPartyType>
        <CaseDisplayIdentifier>24432-03-24</CaseDisplayIdentifier>
        <CaseTypeID>10262</CaseTypeID>
        <CaseTypeName>תביעה לאחר הסדר התדיינויות במשפחה (תלה"מ)</CaseTypeName>
        <CaseName>דה פורטו נ' דה פורטו</CaseName>
        <FullAddress>נהר הירדן 266  בית</FullAddress>
        <MotionID>109690706</MotionID>
        <CasePleaID>0</CasePleaID>
        <FatherName>דרור</FatherName>
        <LinkedCaseID>0</LinkedCaseID>
        <PartyID>2</PartyID>
        <CasePartyCategoryID>4</CasePartyCategoryID>
        <LegalEntityAddressID>89065373</LegalEntityAddressID>
        <PleaTypeID>60</PleaTypeID>
        <GroupPartyAlias>משיבים</GroupPartyAlias>
        <IsConverted>false</IsConverted>
        <LegalEntityRegisteredNameID>9116364</LegalEntityRegisteredNameID>
        <LegalEntityNameID>96278125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דה פורטו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ארז הראל</FullName>
        <FirstName>ארז</FirstName>
        <LastName>הראל</LastName>
        <PartyPropertyName/>
        <AuthenticationTypeAndNumber>מ.ר. 48053</AuthenticationTypeAndNumber>
        <RepresentatedOrRepresentativesNames>גל דה פורטו</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267541913</CasePartyID>
        <PartyTypeID>2</PartyTypeID>
        <ActivityStatusID>1</ActivityStatusID>
        <PartyAliasID>20</PartyAliasID>
        <PartyAliasName>בא כוח תובעים</PartyAliasName>
        <OrdinalNumber>1</OrdinalNumber>
        <LegalEntityID>3489982</LegalEntityID>
        <CaseLegalEntityID>128106217</CaseLegalEntityID>
        <AuthenticationTypeID>4</AuthenticationTypeID>
        <AuthenticationTypeName>מ.ר.</AuthenticationTypeName>
        <LegalEntityNumber>48053</LegalEntityNumber>
        <IsMainPartyType>true</IsMainPartyType>
        <CaseDisplayIdentifier>24432-03-24</CaseDisplayIdentifier>
        <CaseTypeID>10262</CaseTypeID>
        <CaseTypeName>תביעה לאחר הסדר התדיינויות במשפחה (תלה"מ)</CaseTypeName>
        <CaseName>דה פורטו נ' דה פורטו</CaseName>
        <FullAddress>המגינים 56 גן יבנה קניון פרנדלי קומה 2</FullAddress>
        <EmailAddress>h.law@012.net.il</EmailAddress>
        <MotionID>0</MotionID>
        <CasePleaID>0</CasePleaID>
        <LinkedCaseID>0</LinkedCaseID>
        <PartyID>1</PartyID>
        <CasePartyCategoryID>2</CasePartyCategoryID>
        <LegalEntityAddressID>80668143</LegalEntityAddressID>
        <LegalEntityEmailAddressID>67964158</LegalEntityEmailAddressID>
        <PleaTypeID>4</PleaTypeID>
        <LawyerOfficeName>משרד עו"ד ארז הראל</LawyerOfficeName>
        <LawyerOfficeID>3489983</LawyerOfficeID>
        <GroupPartyAlias/>
        <IsConverted>false</IsConverted>
        <LegalEntityNameID>3126530</LegalEntityNameID>
        <RepresentatedNamesOfAssistant/>
        <LegalEntityTypeID>4</LegalEntityTypeID>
        <IsVerdictExists>false</IsVerdictExists>
        <IsAsirAzir>false</IsAsirAzir>
        <MainAndSecSpec/>
        <IsPublicationProhibited>false</IsPublicationProhibited>
        <PublicationProhibitedFullName>ארז הראל</PublicationProhibitedFullName>
      </CaseParties>
    </CasePartiesSelectionDS>
    <DecisionName>החלטה</DecisionName>
    <CourtDisplayName>בית משפט לענייני משפחה בירושלים</CourtDisplayName>
    <IsCaseJudgePanel>false</IsCaseJudgePanel>
    <DecisionSignatureDate>2024-10-22T11:11:22.1990242+03:00</DecisionSignatureDate>
    <OpenCaseDate>2024-03-12T07:00:00+02:00</OpenCaseDate>
    <CaseFeeSum>1182296.000</CaseFeeSum>
    <DecisionTypeID>1</DecisionTypeID>
    <DecisionSignatureUserName>אורית בן דור ליבל</DecisionSignatureUserName>
    <MotionID>109690706</MotionID>
    <DecisionSignatureDateHebrew>2024-10-22T11:11:22.1990242+03:00</DecisionSignatureDateHebrew>
    <MotionNumber>8</MotionNumber>
    <DecisionWriterID>032061806@GOV.IL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דה פורטו נ' דה פורטו</CaseName>
    <DecisionNumberInCase>7</DecisionNumberInCase>
  </dt_Decision>
  <dt_DecisionCase>
    <DecisionID>0</DecisionID>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בראון</FullName>
        <FirstName>משה</FirstName>
        <LastName>בראון</LastName>
        <PartyPropertyName/>
        <AuthenticationTypeAndNumber>מ.ר. 16608</AuthenticationTypeAndNumber>
        <RepresentatedOrRepresentativesNames>דיה כהן</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267874722</CasePartyID>
        <PartyTypeID>2</PartyTypeID>
        <ActivityStatusID>1</ActivityStatusID>
        <PartyAliasID>21</PartyAliasID>
        <PartyAliasName>בא כוח נתבעים</PartyAliasName>
        <LegalEntityID>379599</LegalEntityID>
        <CaseLegalEntityID>128205114</CaseLegalEntityID>
        <AuthenticationTypeID>4</AuthenticationTypeID>
        <AuthenticationTypeName>מ.ר.</AuthenticationTypeName>
        <LegalEntityNumber>16608</LegalEntityNumber>
        <IsMainPartyType>true</IsMainPartyType>
        <CaseDisplayIdentifier>24432-03-24</CaseDisplayIdentifier>
        <CaseTypeID>10262</CaseTypeID>
        <CaseTypeName>תביעה לאחר הסדר התדיינויות במשפחה (תלה"מ)</CaseTypeName>
        <CaseName>דה פורטו נ' דה פורטו</CaseName>
        <FullAddress>דוד המלך 8 ירושלים קומה 4</FullAddress>
        <EmailAddress>brownadv@gmail.com</EmailAddress>
        <MotionID>0</MotionID>
        <CasePleaID>0</CasePleaID>
        <LinkedCaseID>0</LinkedCaseID>
        <PartyID>2</PartyID>
        <CasePartyCategoryID>2</CasePartyCategoryID>
        <LegalEntityAddressID>84460989</LegalEntityAddressID>
        <LegalEntityEmailAddressID>67843498</LegalEntityEmailAddressID>
        <PleaTypeID>4</PleaTypeID>
        <LawyerOfficeName>בראון</LawyerOfficeName>
        <LawyerOfficeID>419361</LawyerOfficeID>
        <GroupPartyAlias/>
        <IsConverted>false</IsConverted>
        <LegalEntityNameID>583</LegalEntityNameID>
        <RepresentatedNamesOfAssistant/>
        <LegalEntityTypeID>4</LegalEntityTypeID>
        <IsVerdictExists>false</IsVerdictExists>
        <IsAsirAzir>false</IsAsirAzir>
        <MainAndSecSpec/>
        <IsPublicationProhibited>false</IsPublicationProhibited>
        <PublicationProhibitedFullName>משה בראון</PublicationProhibitedFullName>
      </CaseParties>
      <CaseParties>
        <PartyTypeName>צד</PartyTypeName>
        <ProceedingType>בקשות</ProceedingType>
        <PleaName>בקשה של נתבע 1 בקשה לסילוק על הסף</PleaName>
        <PartyBelonging>צד א'</PartyBelonging>
        <RoleName>מבקש 1</RoleName>
        <IsSubProceeding>TRUE</IsSubProceeding>
        <FullName>דיה כהן</FullName>
        <FirstName>דיה</FirstName>
        <LastName>כהן</LastName>
        <PartyPropertyName/>
        <AuthenticationTypeAndNumber>ת"ז 203461892</AuthenticationTypeAndNumber>
        <RepresentatedOrRepresentativesNames>משה בראון</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277754303</CasePartyID>
        <PartyTypeID>1</PartyTypeID>
        <ActivityStatusID>1</ActivityStatusID>
        <PartyAliasID>3</PartyAliasID>
        <PartyAliasName>מבקש</PartyAliasName>
        <OrdinalNumber>1</OrdinalNumber>
        <LegalEntityID>78127769</LegalEntityID>
        <CaseLegalEntityID>128106218</CaseLegalEntityID>
        <AuthenticationTypeID>1</AuthenticationTypeID>
        <AuthenticationTypeName>ת"ז</AuthenticationTypeName>
        <LegalEntityNumber>203461892</LegalEntityNumber>
        <IsMainPartyType>false</IsMainPartyType>
        <CaseDisplayIdentifier>24432-03-24</CaseDisplayIdentifier>
        <CaseTypeID>10262</CaseTypeID>
        <CaseTypeName>תביעה לאחר הסדר התדיינויות במשפחה (תלה"מ)</CaseTypeName>
        <CaseName>דה פורטו נ' דה פורטו</CaseName>
        <FullAddress>נחשון  בית</FullAddress>
        <EmailAddress>dayacohen90@gmail.com</EmailAddress>
        <MotionID>109690706</MotionID>
        <CasePleaID>0</CasePleaID>
        <FatherName>משה</FatherName>
        <LinkedCaseID>0</LinkedCaseID>
        <PartyID>1</PartyID>
        <CasePartyCategoryID>4</CasePartyCategoryID>
        <LegalEntityAddressID>89065374</LegalEntityAddressID>
        <LegalEntityEmailAddressID>68363865</LegalEntityEmailAddressID>
        <PleaTypeID>60</PleaTypeID>
        <GroupPartyAlias>מבקשים</GroupPartyAlias>
        <IsConverted>false</IsConverted>
        <LegalEntityRegisteredNameID>9293028</LegalEntityRegisteredNameID>
        <LegalEntityNameID>96278126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דיה כהן</PublicationProhibitedFullName>
      </CaseParties>
      <CaseParties>
        <PartyTypeName>צד</PartyTypeName>
        <ProceedingType>בקשות</ProceedingType>
        <PleaName>בקשה של נתבע 1 בקשה לסילוק על הסף</PleaName>
        <PartyBelonging>צד ב'</PartyBelonging>
        <RoleName>משיב 1</RoleName>
        <IsSubProceeding>TRUE</IsSubProceeding>
        <FullName>גל דה פורטו</FullName>
        <FirstName>גל</FirstName>
        <LastName>דה פורטו</LastName>
        <PartyPropertyName/>
        <AuthenticationTypeAndNumber>ת"ז 301848933</AuthenticationTypeAndNumber>
        <RepresentatedOrRepresentativesNames>ארז הראל</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277754304</CasePartyID>
        <PartyTypeID>1</PartyTypeID>
        <ActivityStatusID>1</ActivityStatusID>
        <PartyAliasID>4</PartyAliasID>
        <PartyAliasName>משיב</PartyAliasName>
        <OrdinalNumber>1</OrdinalNumber>
        <LegalEntityID>72834459</LegalEntityID>
        <CaseLegalEntityID>128106216</CaseLegalEntityID>
        <AuthenticationTypeID>1</AuthenticationTypeID>
        <AuthenticationTypeName>ת"ז</AuthenticationTypeName>
        <LegalEntityNumber>301848933</LegalEntityNumber>
        <IsMainPartyType>false</IsMainPartyType>
        <CaseDisplayIdentifier>24432-03-24</CaseDisplayIdentifier>
        <CaseTypeID>10262</CaseTypeID>
        <CaseTypeName>תביעה לאחר הסדר התדיינויות במשפחה (תלה"מ)</CaseTypeName>
        <CaseName>דה פורטו נ' דה פורטו</CaseName>
        <FullAddress>נהר הירדן 266  בית</FullAddress>
        <MotionID>109690706</MotionID>
        <CasePleaID>0</CasePleaID>
        <FatherName>דרור</FatherName>
        <LinkedCaseID>0</LinkedCaseID>
        <PartyID>2</PartyID>
        <CasePartyCategoryID>4</CasePartyCategoryID>
        <LegalEntityAddressID>89065373</LegalEntityAddressID>
        <PleaTypeID>60</PleaTypeID>
        <GroupPartyAlias>משיבים</GroupPartyAlias>
        <IsConverted>false</IsConverted>
        <LegalEntityRegisteredNameID>9116364</LegalEntityRegisteredNameID>
        <LegalEntityNameID>96278125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דה פורטו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ארז הראל</FullName>
        <FirstName>ארז</FirstName>
        <LastName>הראל</LastName>
        <PartyPropertyName/>
        <AuthenticationTypeAndNumber>מ.ר. 48053</AuthenticationTypeAndNumber>
        <RepresentatedOrRepresentativesNames>גל דה פורטו</RepresentatedOrRepresentativesNames>
        <RepresentatedOrRepresentativesCount>1</RepresentatedOrRepresentativesCount>
        <InvitedBy/>
        <CaseID>81062772</CaseID>
        <CaseJudicialPersonPresentationDS>
          <CaseJudicalPersonActive>
            <CaseID>81062772</CaseID>
            <MotionID>109690706</MotionID>
            <JudicialPersonID>032061806@GOV.IL</JudicialPersonID>
            <JudicialPersonTypeID>1</JudicialPersonTypeID>
            <JudicialTypeID>1</JudicialTypeID>
            <IsChairman>false</IsChairman>
            <TreatmentStartDate>2024-09-20T09:12:48.01+03:00</TreatmentStartDate>
            <TreatmentFinishDate>9999-12-31T23:59:59.997+02:00</TreatmentFinishDate>
            <IdentificationCardNumber>032061806</IdentificationCardNumber>
            <DisplayName>אורית בן דור ליבל</DisplayName>
            <JudicialTypeName>שופט</JudicialTypeName>
            <CaseJudicialGroupNumber>0</CaseJudicialGroupNumber>
            <FirstName>אורית</FirstName>
            <LastName>בן דור ליבל</LastName>
            <JudicialPersonTitle>שופט</JudicialPersonTitle>
          </CaseJudicalPersonActive>
        </CaseJudicialPersonPresentationDS>
        <CasePartyID>267541913</CasePartyID>
        <PartyTypeID>2</PartyTypeID>
        <ActivityStatusID>1</ActivityStatusID>
        <PartyAliasID>20</PartyAliasID>
        <PartyAliasName>בא כוח תובעים</PartyAliasName>
        <OrdinalNumber>1</OrdinalNumber>
        <LegalEntityID>3489982</LegalEntityID>
        <CaseLegalEntityID>128106217</CaseLegalEntityID>
        <AuthenticationTypeID>4</AuthenticationTypeID>
        <AuthenticationTypeName>מ.ר.</AuthenticationTypeName>
        <LegalEntityNumber>48053</LegalEntityNumber>
        <IsMainPartyType>true</IsMainPartyType>
        <CaseDisplayIdentifier>24432-03-24</CaseDisplayIdentifier>
        <CaseTypeID>10262</CaseTypeID>
        <CaseTypeName>תביעה לאחר הסדר התדיינויות במשפחה (תלה"מ)</CaseTypeName>
        <CaseName>דה פורטו נ' דה פורטו</CaseName>
        <FullAddress>המגינים 56 גן יבנה קניון פרנדלי קומה 2</FullAddress>
        <EmailAddress>h.law@012.net.il</EmailAddress>
        <MotionID>0</MotionID>
        <CasePleaID>0</CasePleaID>
        <LinkedCaseID>0</LinkedCaseID>
        <PartyID>1</PartyID>
        <CasePartyCategoryID>2</CasePartyCategoryID>
        <LegalEntityAddressID>80668143</LegalEntityAddressID>
        <LegalEntityEmailAddressID>67964158</LegalEntityEmailAddressID>
        <PleaTypeID>4</PleaTypeID>
        <LawyerOfficeName>משרד עו"ד ארז הראל</LawyerOfficeName>
        <LawyerOfficeID>3489983</LawyerOfficeID>
        <GroupPartyAlias/>
        <IsConverted>false</IsConverted>
        <LegalEntityNameID>3126530</LegalEntityNameID>
        <RepresentatedNamesOfAssistant/>
        <LegalEntityTypeID>4</LegalEntityTypeID>
        <IsVerdictExists>false</IsVerdictExists>
        <IsAsirAzir>false</IsAsirAzir>
        <MainAndSecSpec/>
        <IsPublicationProhibited>false</IsPublicationProhibited>
        <PublicationProhibitedFullName>ארז הראל</PublicationProhibitedFullName>
      </CaseParties>
    </CasePartiesSelectionDS>
    <CaseName>דה פורטו נ' דה פורטו</CaseName>
    <CaseDisplayIdentifier>24432-03-24</CaseDisplayIdentifier>
    <CaseInterestID>10512</CaseInterestID>
    <CaseTypeShortName>תלה"מ</CaseTypeShortName>
  </dt_DecisionCase>
  <dt_DecisionJudgePanel>
    <JudgeID>032061806@GOV.IL</JudgeID>
    <DisplayName>אורית בן דור ליבל</DisplayName>
    <RoleName>שופט</RoleName>
    <UserTitleName>שופטת</UserTitleName>
  </dt_DecisionJudgePanel>
  <dt_LegalEntityDetails>
    <Fax>02-6245103</Fax>
    <Phone>02-6245440</Phone>
    <AddressDesc>קומה 4</AddressDesc>
    <PartyID>2</PartyID>
    <PartyTypeID>2</PartyTypeID>
    <DecisionID>0</DecisionID>
    <StreetName>דוד המלך 8</StreetName>
    <ZipCode>9410120</ZipCode>
    <CityName>ירושלים</CityName>
    <FullName>משה בראון</FullName>
    <Email>brownadv@gmail.com</Email>
    <IsPublicationProhibited>false</IsPublicationProhibited>
  </dt_LegalEntityDetails>
  <dt_LegalEntityDetails>
    <AddressDesc>בית</AddressDesc>
    <PartyID>1</PartyID>
    <PartyTypeID>1</PartyTypeID>
    <DecisionID>0</DecisionID>
    <StreetName>נהר הירדן 266</StreetName>
    <ZipCode>7680500</ZipCode>
    <FullName>גל דה פורטו</FullName>
    <Email>h.law@012.net.il</Email>
    <IsPublicationProhibited>false</IsPublicationProhibited>
  </dt_LegalEntityDetails>
  <dt_LegalEntityDetails>
    <Fax>08-8674713</Fax>
    <Phone>08-8674711</Phone>
    <AddressDesc>קניון פרנדלי קומה 2</AddressDesc>
    <PartyID>1</PartyID>
    <PartyTypeID>2</PartyTypeID>
    <DecisionID>0</DecisionID>
    <StreetName>המגינים 56</StreetName>
    <ZipCode>70800</ZipCode>
    <CityName>גן יבנה</CityName>
    <FullName>ארז הראל</FullName>
    <Email>h.law@012.net.il</Email>
    <IsPublicationProhibited>false</IsPublicationProhibited>
  </dt_LegalEntityDetails>
  <dt_LegalEntityDetails>
    <AddressDesc>בית</AddressDesc>
    <PartyID>2</PartyID>
    <PartyTypeID>1</PartyTypeID>
    <DecisionID>0</DecisionID>
    <StreetName>נחשון</StreetName>
    <ZipCode>9976000</ZipCode>
    <FullName>דיה כהן</FullName>
    <Email>dayacohen90@gmail.com</Email>
    <IsPublicationProhibited>false</IsPublicationProhibited>
  </dt_LegalEntityDetails>
  <dt_CaseJudicalPersonActive>
    <CaseJudicalPerson>שופטת אורית בן דור ליבל</CaseJudicalPerson>
  </dt_CaseJudicalPersonActive>
  <dt_Sitting>
    <PreviousMeetingDate>2024-09-12T12:30:00+03:00</PreviousMeetingDate>
    <PreviousSittingTypeID>1</PreviousSittingTypeID>
    <PreviousMeetingDisplayName>שופטת אורית בן דור ליבל</PreviousMeetingDisplayName>
    <PreviousMeetingRoleName>שופט</PreviousMeetingRoleName>
    <PreviousMeetingUserTitleName>שופטת</PreviousMeetingUserTitleName>
    <PreviousMeetingUserUPN>032061806@GOV.IL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EBA18-542E-4817-8761-3B8C30169392}">
  <ds:schemaRefs/>
</ds:datastoreItem>
</file>

<file path=customXml/itemProps2.xml><?xml version="1.0" encoding="utf-8"?>
<ds:datastoreItem xmlns:ds="http://schemas.openxmlformats.org/officeDocument/2006/customXml" ds:itemID="{736539B0-8C7F-4D9B-B50E-1920EABED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2966</Words>
  <Characters>14835</Characters>
  <Application>Microsoft Office Word</Application>
  <DocSecurity>0</DocSecurity>
  <Lines>123</Lines>
  <Paragraphs>35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2024-11-18T12:32:00Z</cp:lastPrinted>
  <dcterms:created xsi:type="dcterms:W3CDTF">2024-11-27T11:22:00Z</dcterms:created>
  <dcterms:modified xsi:type="dcterms:W3CDTF">2024-11-27T11:22:00Z</dcterms:modified>
</cp:coreProperties>
</file>